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0E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F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0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1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2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3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5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22.12.2023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 98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16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7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/>
        <w:jc w:val="center"/>
        <w:rPr>
          <w:sz w:val="28"/>
        </w:rPr>
      </w:pPr>
      <w:r>
        <w:rPr>
          <w:sz w:val="28"/>
        </w:rPr>
        <w:t xml:space="preserve">О бюджете  </w:t>
      </w:r>
      <w:r>
        <w:rPr>
          <w:sz w:val="28"/>
        </w:rPr>
        <w:t>Кринично</w:t>
      </w:r>
      <w:r>
        <w:rPr>
          <w:sz w:val="28"/>
        </w:rPr>
        <w:t>-Лугского</w:t>
      </w:r>
      <w:r>
        <w:rPr>
          <w:sz w:val="28"/>
        </w:rPr>
        <w:t xml:space="preserve"> сельского поселения Куйбышевского района на 2024 год и плановый период 2025 и 2026 годов</w:t>
      </w:r>
    </w:p>
    <w:p w14:paraId="1A000000">
      <w:pPr>
        <w:ind/>
        <w:jc w:val="both"/>
        <w:rPr>
          <w:sz w:val="28"/>
        </w:rPr>
      </w:pPr>
    </w:p>
    <w:p w14:paraId="1B000000">
      <w:pPr>
        <w:ind w:firstLine="850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поселения  РЕШИЛО:       </w:t>
      </w:r>
    </w:p>
    <w:p w14:paraId="1C000000">
      <w:pPr>
        <w:ind/>
        <w:jc w:val="both"/>
        <w:rPr>
          <w:sz w:val="28"/>
        </w:rPr>
      </w:pPr>
    </w:p>
    <w:p w14:paraId="1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2025 и 2026 годов.</w:t>
      </w:r>
    </w:p>
    <w:p w14:paraId="1E000000">
      <w:pPr>
        <w:ind w:firstLine="0" w:left="340"/>
        <w:rPr>
          <w:b w:val="1"/>
          <w:caps w:val="1"/>
          <w:sz w:val="28"/>
        </w:rPr>
      </w:pPr>
    </w:p>
    <w:p w14:paraId="1F000000">
      <w:pPr>
        <w:widowControl w:val="0"/>
        <w:numPr>
          <w:ilvl w:val="0"/>
          <w:numId w:val="1"/>
        </w:numPr>
        <w:tabs>
          <w:tab w:leader="none" w:pos="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поселения на 2024 год, </w:t>
      </w:r>
      <w:r>
        <w:rPr>
          <w:sz w:val="28"/>
        </w:rPr>
        <w:t>определенные с учетом уровня инфляции, не превышающего 4,5 процента (декабрь 2024 года к декабрю 2023 года):</w:t>
      </w:r>
    </w:p>
    <w:p w14:paraId="20000000">
      <w:pPr>
        <w:widowControl w:val="0"/>
        <w:tabs>
          <w:tab w:leader="none" w:pos="0" w:val="left"/>
        </w:tabs>
        <w:ind w:firstLine="851" w:left="0"/>
        <w:jc w:val="both"/>
        <w:rPr>
          <w:sz w:val="28"/>
        </w:rPr>
      </w:pPr>
    </w:p>
    <w:p w14:paraId="21000000">
      <w:pPr>
        <w:widowControl w:val="0"/>
        <w:numPr>
          <w:ilvl w:val="0"/>
          <w:numId w:val="2"/>
        </w:numPr>
        <w:tabs>
          <w:tab w:leader="none" w:pos="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28 387,7  тыс. рублей;</w:t>
      </w:r>
    </w:p>
    <w:p w14:paraId="22000000">
      <w:pPr>
        <w:numPr>
          <w:ilvl w:val="0"/>
          <w:numId w:val="2"/>
        </w:numPr>
        <w:tabs>
          <w:tab w:leader="none" w:pos="0" w:val="left"/>
        </w:tabs>
        <w:ind w:firstLine="850" w:left="0"/>
        <w:jc w:val="both"/>
        <w:rPr>
          <w:sz w:val="28"/>
        </w:rPr>
      </w:pPr>
      <w:r>
        <w:rPr>
          <w:sz w:val="28"/>
        </w:rPr>
        <w:t>общий объем расходов бюджета поселения в сумме 28 387,7 тыс. ру</w:t>
      </w:r>
      <w:r>
        <w:rPr>
          <w:sz w:val="28"/>
        </w:rPr>
        <w:t>блей;</w:t>
      </w:r>
    </w:p>
    <w:p w14:paraId="23000000">
      <w:pPr>
        <w:widowControl w:val="0"/>
        <w:numPr>
          <w:ilvl w:val="0"/>
          <w:numId w:val="2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43,0 тыс. рублей;</w:t>
      </w:r>
    </w:p>
    <w:p w14:paraId="24000000">
      <w:pPr>
        <w:widowControl w:val="0"/>
        <w:numPr>
          <w:ilvl w:val="0"/>
          <w:numId w:val="2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 года в сумме 0,0 тыс. рублей, в т</w:t>
      </w:r>
      <w:r>
        <w:rPr>
          <w:sz w:val="28"/>
        </w:rPr>
        <w:t xml:space="preserve">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бюджетов в сумме 0,0 </w:t>
      </w:r>
      <w:r>
        <w:rPr>
          <w:sz w:val="28"/>
        </w:rPr>
        <w:t xml:space="preserve">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25000000">
      <w:pPr>
        <w:widowControl w:val="0"/>
        <w:numPr>
          <w:ilvl w:val="0"/>
          <w:numId w:val="2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  <w:r>
        <w:rPr>
          <w:sz w:val="28"/>
        </w:rPr>
        <w:t>в сумме 0,0 тыс. рублей.</w:t>
      </w:r>
    </w:p>
    <w:p w14:paraId="26000000">
      <w:pPr>
        <w:widowControl w:val="0"/>
        <w:numPr>
          <w:ilvl w:val="0"/>
          <w:numId w:val="2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0,0 тыс. рублей. </w:t>
      </w:r>
    </w:p>
    <w:p w14:paraId="27000000">
      <w:pPr>
        <w:widowControl w:val="0"/>
        <w:ind w:firstLine="454" w:left="0"/>
        <w:jc w:val="both"/>
        <w:rPr>
          <w:sz w:val="28"/>
        </w:rPr>
      </w:pP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2025 и 2026 годов, определенные с учетом уровня инфляции, не превышающего 4,0 процента (д</w:t>
      </w:r>
      <w:r>
        <w:rPr>
          <w:sz w:val="28"/>
        </w:rPr>
        <w:t>екабрь 2025 года к декабрю 2024 года) и 4,0 процента (декабрь 2026 года к декабрю 2025 года) соответственно:</w:t>
      </w:r>
    </w:p>
    <w:p w14:paraId="29000000">
      <w:pPr>
        <w:ind w:firstLine="851" w:left="0"/>
        <w:jc w:val="both"/>
        <w:rPr>
          <w:sz w:val="28"/>
        </w:rPr>
      </w:pPr>
    </w:p>
    <w:p w14:paraId="2A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2025 год в сумме 29 668,6  тыс. рублей и на 2026 год в сумме 28 917,5 тыс. рублей;</w:t>
      </w:r>
    </w:p>
    <w:p w14:paraId="2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2) об</w:t>
      </w:r>
      <w:r>
        <w:rPr>
          <w:sz w:val="28"/>
        </w:rPr>
        <w:t xml:space="preserve">щий объем расходов бюджета поселения на 2025 год в сумме 29 668,6 тыс. </w:t>
      </w:r>
      <w:r>
        <w:rPr>
          <w:sz w:val="28"/>
        </w:rPr>
        <w:t>рублей</w:t>
      </w:r>
      <w:r>
        <w:rPr>
          <w:sz w:val="28"/>
        </w:rPr>
        <w:t xml:space="preserve"> в том числе условно утвержденные расходы в сумме 732,0 тыс. рублей, и на 2026 год в сумме 28 917,5 тыс. рублей, в том числе условно утвержденные расходы в сумме 1 424,7 тыс. рубл</w:t>
      </w:r>
      <w:r>
        <w:rPr>
          <w:sz w:val="28"/>
        </w:rPr>
        <w:t>ей;</w:t>
      </w:r>
    </w:p>
    <w:p w14:paraId="2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2025 год в сумме 0,0 тыс. рублей и на 2026 год в сумме 0,0 тыс. рублей;</w:t>
      </w:r>
    </w:p>
    <w:p w14:paraId="2D000000">
      <w:pPr>
        <w:widowControl w:val="0"/>
        <w:tabs>
          <w:tab w:leader="none" w:pos="70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</w:t>
      </w:r>
      <w:r>
        <w:rPr>
          <w:sz w:val="28"/>
        </w:rPr>
        <w:t xml:space="preserve">района на 1 января 2026 года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r>
        <w:rPr>
          <w:sz w:val="28"/>
        </w:rPr>
        <w:t xml:space="preserve">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внутреннего долга </w:t>
      </w:r>
      <w:r>
        <w:rPr>
          <w:sz w:val="28"/>
        </w:rPr>
        <w:t>Криничн</w:t>
      </w:r>
      <w:r>
        <w:rPr>
          <w:sz w:val="28"/>
        </w:rPr>
        <w:t>о-Лугского</w:t>
      </w:r>
      <w:r>
        <w:rPr>
          <w:sz w:val="28"/>
        </w:rPr>
        <w:t xml:space="preserve"> сельского поселения Куйбышевского района на 1 января 2027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</w:t>
      </w:r>
      <w:r>
        <w:rPr>
          <w:sz w:val="28"/>
        </w:rPr>
        <w:t xml:space="preserve"> по бюджетным кредитам, привлеченным в бюджет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</w:t>
      </w:r>
      <w:r>
        <w:rPr>
          <w:sz w:val="28"/>
        </w:rPr>
        <w:t xml:space="preserve"> района от кредитных организаций, в сумме 0,0 тыс. рублей;</w:t>
      </w:r>
    </w:p>
    <w:p w14:paraId="2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>объем ра</w:t>
      </w:r>
      <w:r>
        <w:rPr>
          <w:sz w:val="28"/>
        </w:rPr>
        <w:t xml:space="preserve">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2025 год в сумме 0,0 тыс. рублей и на 2026 год в сумме 0,0 тыс. рублей;</w:t>
      </w:r>
    </w:p>
    <w:p w14:paraId="2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6) прогнозируемый профицит бюджета поселения на 2025 год в сумме 0,0 тыс. рубл</w:t>
      </w:r>
      <w:r>
        <w:rPr>
          <w:sz w:val="28"/>
        </w:rPr>
        <w:t xml:space="preserve">ей и на 2026 год в сумме 0,0  тыс. рублей. </w:t>
      </w:r>
    </w:p>
    <w:p w14:paraId="30000000">
      <w:pPr>
        <w:widowControl w:val="0"/>
        <w:ind w:firstLine="454" w:left="0"/>
        <w:jc w:val="both"/>
        <w:rPr>
          <w:sz w:val="28"/>
        </w:rPr>
      </w:pPr>
    </w:p>
    <w:p w14:paraId="31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 Учесть в бюджете поселения объем поступлений доходов на 2024 год и на плановый период 2025 и 2026 годов согласно приложению 1 к настоящему решению.</w:t>
      </w:r>
    </w:p>
    <w:p w14:paraId="3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</w:t>
      </w:r>
      <w:r>
        <w:rPr>
          <w:sz w:val="28"/>
        </w:rPr>
        <w:t xml:space="preserve">ения на 2024 год и на плановый период 2025 и 2026 годов,  согласно </w:t>
      </w:r>
      <w:r>
        <w:rPr>
          <w:sz w:val="28"/>
        </w:rPr>
        <w:t>приложению 2 к настоящему решению.</w:t>
      </w:r>
    </w:p>
    <w:p w14:paraId="33000000">
      <w:pPr>
        <w:widowControl w:val="0"/>
        <w:ind w:firstLine="851" w:left="0"/>
        <w:jc w:val="both"/>
        <w:rPr>
          <w:sz w:val="28"/>
        </w:rPr>
      </w:pPr>
    </w:p>
    <w:p w14:paraId="3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2024 год и на плановый период  2025 и 2026 годов.</w:t>
      </w:r>
    </w:p>
    <w:p w14:paraId="35000000">
      <w:pPr>
        <w:widowControl w:val="0"/>
        <w:ind w:firstLine="851" w:left="0"/>
        <w:jc w:val="both"/>
        <w:rPr>
          <w:sz w:val="28"/>
        </w:rPr>
      </w:pPr>
    </w:p>
    <w:p w14:paraId="36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распределения доходов бюджета поселения на 2024 год и на плановый период 2025 и 2026 годов, согласно приложению 3 к настоящему решению.</w:t>
      </w:r>
    </w:p>
    <w:p w14:paraId="37000000">
      <w:pPr>
        <w:widowControl w:val="0"/>
        <w:ind w:firstLine="454" w:left="0"/>
        <w:jc w:val="both"/>
        <w:rPr>
          <w:sz w:val="28"/>
        </w:rPr>
      </w:pPr>
    </w:p>
    <w:p w14:paraId="38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3. Бюджетные ассигнования бюджета поселения на 2024 </w:t>
      </w:r>
      <w:r>
        <w:rPr>
          <w:sz w:val="28"/>
        </w:rPr>
        <w:t>год и на плановый период 2025 и 2026 годов</w:t>
      </w:r>
    </w:p>
    <w:p w14:paraId="39000000">
      <w:pPr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3A000000">
      <w:p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3.1. Утвердить общий объем бюджетных ассигнований на исполнение публичных нормативных обязательств на 2024 год в сумме 177,8 тыс. рублей и на плановый период 2025 и 2026 годов в сумме 196,7 тыс. рублей и 216,4 ты</w:t>
      </w:r>
      <w:r>
        <w:rPr>
          <w:sz w:val="28"/>
        </w:rPr>
        <w:t>с. рублей соответственно.</w:t>
      </w:r>
    </w:p>
    <w:p w14:paraId="3B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юджетные ассигнования на осуществление расходов по обслуживанию долговых обязательств в 2024 году в сумме 0,0 тыс. рублей, в 2025 году в сумме 0,0 тыс. рублей и в 2026 году в сумме 0,0 тыс. рублей;</w:t>
      </w:r>
    </w:p>
    <w:p w14:paraId="3C000000">
      <w:pPr>
        <w:ind w:firstLine="851" w:left="0"/>
        <w:jc w:val="both"/>
        <w:rPr>
          <w:sz w:val="28"/>
        </w:rPr>
      </w:pPr>
      <w:r>
        <w:rPr>
          <w:sz w:val="28"/>
        </w:rPr>
        <w:t>3.2. Утвердить распределение бю</w:t>
      </w:r>
      <w:r>
        <w:rPr>
          <w:sz w:val="28"/>
        </w:rPr>
        <w:t xml:space="preserve">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2024 </w:t>
      </w:r>
      <w:r>
        <w:rPr>
          <w:sz w:val="28"/>
        </w:rPr>
        <w:t>год на плановый период 2025 и 2026 годов, согласно приложению 4 к настоящему решению.</w:t>
      </w:r>
    </w:p>
    <w:p w14:paraId="3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3.3. Утвердить ведомственную структуру расходов бюджета поселения на 2024год и на плановый период 2025 и 2026 годов, согласно приложению 5 к настоящему решению.</w:t>
      </w:r>
    </w:p>
    <w:p w14:paraId="3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3.4. Утве</w:t>
      </w:r>
      <w:r>
        <w:rPr>
          <w:sz w:val="28"/>
        </w:rPr>
        <w:t xml:space="preserve">рдить распределение бюджетных ассигнований 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</w:t>
      </w:r>
      <w:r>
        <w:rPr>
          <w:sz w:val="28"/>
        </w:rPr>
        <w:t>ета поселения на 2024 год и на плановый период 2025 и 2026 годов, согласно приложению 6 к настоящему решению.</w:t>
      </w:r>
    </w:p>
    <w:p w14:paraId="3F000000">
      <w:pPr>
        <w:widowControl w:val="0"/>
        <w:ind w:firstLine="454" w:left="0"/>
        <w:jc w:val="both"/>
        <w:rPr>
          <w:sz w:val="28"/>
        </w:rPr>
      </w:pPr>
    </w:p>
    <w:p w14:paraId="40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14:paraId="41000000">
      <w:pPr>
        <w:widowControl w:val="0"/>
        <w:ind w:firstLine="851" w:left="0"/>
        <w:jc w:val="both"/>
        <w:rPr>
          <w:sz w:val="28"/>
        </w:rPr>
      </w:pPr>
    </w:p>
    <w:p w14:paraId="4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лиц, замещающих муниципальные должности поселения, окладов денежного содержания по должностям муниципальной службы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 индексируются с 1 октября 2025 года на 4,0 процента, с 1 </w:t>
      </w:r>
      <w:r>
        <w:rPr>
          <w:sz w:val="28"/>
        </w:rPr>
        <w:t>октября 2026 года на 4,0 процента.</w:t>
      </w:r>
    </w:p>
    <w:p w14:paraId="43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2024 год</w:t>
      </w:r>
      <w:r>
        <w:rPr>
          <w:sz w:val="28"/>
        </w:rPr>
        <w:t xml:space="preserve">а на 4,5 процента, с 1 октября 2025 года на 4,0 процента, с 1 октября 2026 года </w:t>
      </w:r>
      <w:r>
        <w:rPr>
          <w:sz w:val="28"/>
        </w:rPr>
        <w:t>на</w:t>
      </w:r>
      <w:r>
        <w:rPr>
          <w:sz w:val="28"/>
        </w:rPr>
        <w:t xml:space="preserve"> 4,0 процента.</w:t>
      </w:r>
    </w:p>
    <w:p w14:paraId="44000000">
      <w:pPr>
        <w:tabs>
          <w:tab w:leader="none" w:pos="851" w:val="left"/>
        </w:tabs>
        <w:spacing w:after="120"/>
        <w:ind w:firstLine="737" w:left="0"/>
        <w:jc w:val="both"/>
        <w:rPr>
          <w:sz w:val="28"/>
        </w:rPr>
      </w:pPr>
    </w:p>
    <w:p w14:paraId="4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5.</w:t>
      </w:r>
      <w:r>
        <w:rPr>
          <w:b w:val="1"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муниципального учреждения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      </w:t>
      </w:r>
    </w:p>
    <w:p w14:paraId="46000000">
      <w:pPr>
        <w:tabs>
          <w:tab w:leader="none" w:pos="851" w:val="left"/>
        </w:tabs>
        <w:ind w:firstLine="709" w:left="0"/>
        <w:jc w:val="both"/>
        <w:outlineLvl w:val="0"/>
        <w:rPr>
          <w:b w:val="1"/>
          <w:sz w:val="28"/>
        </w:rPr>
      </w:pPr>
    </w:p>
    <w:p w14:paraId="47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2024 года на 4,5 процента, с 1 о</w:t>
      </w:r>
      <w:r>
        <w:rPr>
          <w:sz w:val="28"/>
        </w:rPr>
        <w:t xml:space="preserve">ктября 2025 года на 4,0 процента, с 1 октября 2026 года </w:t>
      </w:r>
      <w:r>
        <w:rPr>
          <w:sz w:val="28"/>
        </w:rPr>
        <w:t>на</w:t>
      </w:r>
      <w:r>
        <w:rPr>
          <w:sz w:val="28"/>
        </w:rPr>
        <w:t xml:space="preserve"> 4,0 процента.</w:t>
      </w:r>
    </w:p>
    <w:p w14:paraId="48000000">
      <w:pPr>
        <w:widowControl w:val="0"/>
        <w:ind w:firstLine="851" w:left="0"/>
        <w:jc w:val="both"/>
        <w:rPr>
          <w:sz w:val="28"/>
        </w:rPr>
      </w:pPr>
    </w:p>
    <w:p w14:paraId="4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r>
        <w:rPr>
          <w:sz w:val="28"/>
        </w:rPr>
        <w:t>трансферты</w:t>
      </w:r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14:paraId="4A000000">
      <w:pPr>
        <w:ind w:firstLine="851" w:left="0"/>
        <w:jc w:val="both"/>
        <w:rPr>
          <w:sz w:val="28"/>
        </w:rPr>
      </w:pPr>
    </w:p>
    <w:p w14:paraId="4B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>Утвердить распределение межбюджетных трансфертов, предоставляемых бюдже</w:t>
      </w:r>
      <w:r>
        <w:rPr>
          <w:sz w:val="28"/>
        </w:rPr>
        <w:t xml:space="preserve">ту Куйбышевского района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 согласно приложению </w:t>
      </w:r>
      <w:r>
        <w:rPr>
          <w:sz w:val="28"/>
        </w:rPr>
        <w:t>7 к настоящему решению.</w:t>
      </w:r>
    </w:p>
    <w:p w14:paraId="4C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</w:p>
    <w:p w14:paraId="4D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2024 год и плановый период 2025 и 2026 годов  согласно приложению 8 к настоящему решению.</w:t>
      </w:r>
    </w:p>
    <w:p w14:paraId="4E000000">
      <w:pPr>
        <w:ind w:firstLine="900" w:left="0"/>
        <w:jc w:val="both"/>
        <w:rPr>
          <w:sz w:val="28"/>
        </w:rPr>
      </w:pPr>
    </w:p>
    <w:p w14:paraId="4F000000">
      <w:pPr>
        <w:ind w:firstLine="851" w:left="0"/>
        <w:jc w:val="both"/>
        <w:rPr>
          <w:sz w:val="28"/>
        </w:rPr>
      </w:pPr>
      <w:r>
        <w:rPr>
          <w:sz w:val="28"/>
        </w:rPr>
        <w:t>Пункт 8. Утвердить распределение субсидий</w:t>
      </w:r>
      <w:r>
        <w:rPr>
          <w:sz w:val="28"/>
        </w:rPr>
        <w:t xml:space="preserve"> областного бюджета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2024 год и плановый период 2025 и 2026 годов согласно приложению  9 к настоящему  решени</w:t>
      </w:r>
      <w:r>
        <w:rPr>
          <w:sz w:val="28"/>
        </w:rPr>
        <w:t>ю.</w:t>
      </w:r>
    </w:p>
    <w:p w14:paraId="50000000">
      <w:pPr>
        <w:widowControl w:val="0"/>
        <w:ind w:firstLine="851" w:left="0"/>
        <w:jc w:val="both"/>
        <w:rPr>
          <w:sz w:val="28"/>
        </w:rPr>
      </w:pPr>
    </w:p>
    <w:p w14:paraId="51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</w:t>
      </w:r>
      <w:r>
        <w:rPr>
          <w:sz w:val="28"/>
        </w:rPr>
        <w:t>25 и 2026 годов согласно приложению 10 к настоящему решению.</w:t>
      </w:r>
    </w:p>
    <w:p w14:paraId="53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9.2. 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вправе привлекать заемные средства в соответствии с Программой муниципальных </w:t>
      </w:r>
      <w:r>
        <w:rPr>
          <w:sz w:val="28"/>
        </w:rPr>
        <w:t xml:space="preserve">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 xml:space="preserve">я Куйбышевского района на 2024 год и на плановый период 2025 и 2026 годов верхнего предела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2025года.</w:t>
      </w:r>
    </w:p>
    <w:p w14:paraId="54000000">
      <w:pPr>
        <w:ind w:firstLine="851" w:left="0"/>
        <w:jc w:val="both"/>
        <w:rPr>
          <w:sz w:val="28"/>
        </w:rPr>
      </w:pPr>
    </w:p>
    <w:p w14:paraId="55000000">
      <w:pPr>
        <w:ind w:firstLine="851" w:left="0"/>
        <w:jc w:val="both"/>
        <w:rPr>
          <w:b w:val="1"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 w:val="1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6000000">
      <w:pPr>
        <w:ind w:firstLine="851" w:left="0"/>
        <w:jc w:val="both"/>
        <w:rPr>
          <w:sz w:val="28"/>
        </w:rPr>
      </w:pPr>
    </w:p>
    <w:p w14:paraId="5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плановый период 2025 и 2026 годов согласно приложению 11 к настоящему решению.</w:t>
      </w:r>
    </w:p>
    <w:p w14:paraId="58000000">
      <w:pPr>
        <w:widowControl w:val="0"/>
        <w:ind w:firstLine="851" w:left="0"/>
        <w:jc w:val="both"/>
        <w:rPr>
          <w:sz w:val="28"/>
        </w:rPr>
      </w:pPr>
    </w:p>
    <w:p w14:paraId="59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11. Особенности исполнения бюджет</w:t>
      </w:r>
      <w:r>
        <w:rPr>
          <w:sz w:val="28"/>
        </w:rPr>
        <w:t>а поселения в 2024 году</w:t>
      </w:r>
    </w:p>
    <w:p w14:paraId="5A000000">
      <w:pPr>
        <w:widowControl w:val="0"/>
        <w:ind w:firstLine="851" w:left="0"/>
        <w:jc w:val="both"/>
        <w:rPr>
          <w:sz w:val="28"/>
        </w:rPr>
      </w:pPr>
    </w:p>
    <w:p w14:paraId="5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11.1.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списывает в порядке, определённым нормативным правовым актом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пени и штрафы по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 организац</w:t>
      </w:r>
      <w:r>
        <w:rPr>
          <w:sz w:val="28"/>
        </w:rPr>
        <w:t xml:space="preserve">ий по налогам, сборам, начисленным пеням и штрафам, подлежащим зачислению в бюджет </w:t>
      </w:r>
      <w:r>
        <w:rPr>
          <w:sz w:val="28"/>
        </w:rPr>
        <w:t>сельскогог</w:t>
      </w:r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</w:t>
      </w:r>
      <w:r>
        <w:rPr>
          <w:sz w:val="28"/>
        </w:rPr>
        <w:t xml:space="preserve">я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задолженности.</w:t>
      </w:r>
    </w:p>
    <w:p w14:paraId="5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11.2. Установить в соответствии с пунктом 6 статьи 42 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r>
        <w:rPr>
          <w:sz w:val="28"/>
        </w:rPr>
        <w:t>Крин</w:t>
      </w:r>
      <w:r>
        <w:rPr>
          <w:sz w:val="28"/>
        </w:rPr>
        <w:t>ично-Лугское</w:t>
      </w:r>
      <w:r>
        <w:rPr>
          <w:sz w:val="28"/>
        </w:rPr>
        <w:t xml:space="preserve"> сельское поселение», что основанием для внесения в 2024 году изменений в показатели сводной бюджетной росписи бюджета поселения являются:</w:t>
      </w:r>
    </w:p>
    <w:p w14:paraId="5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1) в части неиспользованных бюджетных ассигнований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выделенных в порядке, установленном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распоряжения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поселения, предусматривающие:</w:t>
      </w:r>
    </w:p>
    <w:p w14:paraId="5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уменьшение объема ранее выделенных бюджетных ассигнований из рез</w:t>
      </w:r>
      <w:r>
        <w:rPr>
          <w:sz w:val="28"/>
        </w:rPr>
        <w:t xml:space="preserve">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 на сумму неиспользованных средств;</w:t>
      </w:r>
    </w:p>
    <w:p w14:paraId="5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выделении средств из резервного фонда Админи</w:t>
      </w:r>
      <w:r>
        <w:rPr>
          <w:sz w:val="28"/>
        </w:rPr>
        <w:t xml:space="preserve">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r>
        <w:rPr>
          <w:sz w:val="28"/>
        </w:rPr>
        <w:t>детализации целевой статьи расходов классификации р</w:t>
      </w:r>
      <w:r>
        <w:rPr>
          <w:sz w:val="28"/>
        </w:rPr>
        <w:t>асходов бюджета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3) перераспределение бюджетных ассигнований между разделами, подразделами, целевыми статьями и видами </w:t>
      </w:r>
      <w:r>
        <w:rPr>
          <w:sz w:val="28"/>
        </w:rPr>
        <w:t>расходов классификации расходов бюджета поселения</w:t>
      </w:r>
      <w:r>
        <w:rPr>
          <w:sz w:val="28"/>
        </w:rPr>
        <w:t xml:space="preserve"> в пределах общего объема бюджетных ассигнований, </w:t>
      </w:r>
      <w:r>
        <w:rPr>
          <w:sz w:val="28"/>
        </w:rPr>
        <w:t>предусмотренных главному распорядителю средств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2000000">
      <w:pPr>
        <w:ind w:firstLine="851" w:left="0"/>
        <w:jc w:val="both"/>
        <w:rPr>
          <w:sz w:val="28"/>
        </w:rPr>
      </w:pPr>
      <w:r>
        <w:rPr>
          <w:sz w:val="28"/>
        </w:rPr>
        <w:t>4) перераспредел</w:t>
      </w:r>
      <w:r>
        <w:rPr>
          <w:sz w:val="28"/>
        </w:rPr>
        <w:t xml:space="preserve">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</w:t>
      </w:r>
      <w:r>
        <w:rPr>
          <w:sz w:val="28"/>
        </w:rPr>
        <w:t xml:space="preserve">ств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14:paraId="63000000">
      <w:pPr>
        <w:ind w:firstLine="851" w:left="0"/>
        <w:jc w:val="both"/>
        <w:rPr>
          <w:sz w:val="28"/>
        </w:rPr>
      </w:pPr>
      <w:r>
        <w:rPr>
          <w:sz w:val="28"/>
        </w:rPr>
        <w:t>11.3. Ус</w:t>
      </w:r>
      <w:r>
        <w:rPr>
          <w:sz w:val="28"/>
        </w:rPr>
        <w:t xml:space="preserve">тановить, что в 2024 году в соответствии со статьями 220.2 и 242.26 Бюджетного кодекса Российской Федерации казначейскому сопровождению подлежат средства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района, предоставляемые в соответствии со </w:t>
      </w:r>
      <w:r>
        <w:rPr>
          <w:sz w:val="28"/>
        </w:rPr>
        <w:t>статьей 80 Бюджетного кодекса Российской Федерации.</w:t>
      </w:r>
    </w:p>
    <w:p w14:paraId="64000000">
      <w:pPr>
        <w:ind w:firstLine="720" w:left="0"/>
        <w:jc w:val="both"/>
        <w:rPr>
          <w:sz w:val="26"/>
        </w:rPr>
      </w:pPr>
    </w:p>
    <w:p w14:paraId="6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поселения.</w:t>
      </w:r>
    </w:p>
    <w:p w14:paraId="66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  Данное решение вступает в силу со дня его официального опубликования и распространяется на правоотношения, возникшие с 1 января 2024 года.  </w:t>
      </w:r>
    </w:p>
    <w:p w14:paraId="6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комиссию по бюд</w:t>
      </w:r>
      <w:r>
        <w:rPr>
          <w:sz w:val="28"/>
        </w:rPr>
        <w:t xml:space="preserve">жету, налогам и собственности (председатель постоянной комиссии </w:t>
      </w:r>
      <w:r>
        <w:rPr>
          <w:sz w:val="28"/>
        </w:rPr>
        <w:t>Лавришко</w:t>
      </w:r>
      <w:r>
        <w:rPr>
          <w:sz w:val="28"/>
        </w:rPr>
        <w:t xml:space="preserve"> О.В.)</w:t>
      </w:r>
    </w:p>
    <w:p w14:paraId="68000000">
      <w:pPr>
        <w:ind/>
        <w:jc w:val="both"/>
        <w:rPr>
          <w:sz w:val="28"/>
        </w:rPr>
      </w:pPr>
    </w:p>
    <w:p w14:paraId="6900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</w:t>
      </w:r>
      <w:r>
        <w:rPr>
          <w:sz w:val="28"/>
        </w:rPr>
        <w:t>Сасунов</w:t>
      </w:r>
      <w:r>
        <w:rPr>
          <w:sz w:val="28"/>
        </w:rPr>
        <w:t xml:space="preserve"> </w:t>
      </w:r>
    </w:p>
    <w:p w14:paraId="6B000000">
      <w:pPr>
        <w:sectPr>
          <w:footerReference r:id="rId4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4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both"/>
            </w:pPr>
          </w:p>
        </w:tc>
        <w:tc>
          <w:tcPr>
            <w:tcW w:type="dxa" w:w="6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6E00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6F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000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</w:t>
            </w:r>
          </w:p>
        </w:tc>
      </w:tr>
    </w:tbl>
    <w:p w14:paraId="71000000">
      <w:pPr>
        <w:widowControl w:val="0"/>
        <w:ind/>
        <w:jc w:val="both"/>
      </w:pPr>
    </w:p>
    <w:tbl>
      <w:tblPr>
        <w:tblStyle w:val="Style_4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2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73000000">
            <w:pPr>
              <w:ind/>
              <w:jc w:val="center"/>
            </w:pPr>
            <w:r>
              <w:t>Куйбышевского района на 2024 год и на плановый период 2025 и 2026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74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7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800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A000000">
            <w:r>
              <w:t>1 00 00000 00 0000 000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7B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7C000000">
            <w:pPr>
              <w:ind/>
              <w:jc w:val="center"/>
            </w:pPr>
            <w:r>
              <w:t>14 302,3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t>19 905,8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t>20 056,8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F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0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t>3 338,6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4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5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3 338,6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9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A000000">
            <w:pPr>
              <w:ind w:right="12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fldChar w:fldCharType="begin"/>
            </w:r>
            <w:r>
              <w:instrText>HYPERLINK "https://login.consultant.ru/link/?req=doc&amp;base=LAW&amp;n=453953&amp;dst=3019&amp;field=134&amp;date=24.10.2023"</w:instrText>
            </w:r>
            <w:r>
              <w:fldChar w:fldCharType="separate"/>
            </w:r>
            <w:r>
              <w:t>статьями 227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HYPERLINK "https://login.consultant.ru/link/?req=doc&amp;base=LAW&amp;n=453953&amp;dst=10877&amp;field=134&amp;date=24.10.2023"</w:instrText>
            </w:r>
            <w:r>
              <w:fldChar w:fldCharType="separate"/>
            </w:r>
            <w:r>
              <w:t>227.1</w:t>
            </w:r>
            <w:r>
              <w:fldChar w:fldCharType="end"/>
            </w:r>
            <w:r>
              <w:t xml:space="preserve"> и </w:t>
            </w:r>
            <w:r>
              <w:fldChar w:fldCharType="begin"/>
            </w:r>
            <w:r>
              <w:instrText>HYPERLINK "https://login.consultant.ru/link/?req=doc&amp;base=LAW&amp;n=453953&amp;dst=101491&amp;field=134&amp;date=24.10.2023"</w:instrText>
            </w:r>
            <w:r>
              <w:fldChar w:fldCharType="separate"/>
            </w:r>
            <w:r>
              <w:t>228</w:t>
            </w:r>
            <w:r>
              <w:fldChar w:fldCharType="end"/>
            </w:r>
            <w: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t>3338,6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C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E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F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90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1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t xml:space="preserve">3 479,0                                             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3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4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95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6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t xml:space="preserve">3 479,0                                             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8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9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9A000000">
            <w:pPr>
              <w:ind/>
              <w:jc w:val="center"/>
            </w:pPr>
            <w:r>
              <w:t xml:space="preserve">3 479,0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B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</w:t>
            </w:r>
            <w:r>
              <w:t xml:space="preserve">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D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E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9F000000">
            <w:pPr>
              <w:ind/>
              <w:jc w:val="center"/>
            </w:pPr>
            <w:r>
              <w:t>7 023,4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t>12 542,5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t>12 542,5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2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3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7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8000000">
            <w:r>
              <w:t xml:space="preserve">Налог на имущество физических лиц, взимаемый по </w:t>
            </w:r>
            <w:r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9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C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D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6 614,7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t>12 133,8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t>12 133,8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1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2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t>549,2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t>578,2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578,2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6000000">
            <w:r>
              <w:t xml:space="preserve">1 06 </w:t>
            </w:r>
            <w:r>
              <w:t>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7000000">
            <w:r>
              <w:t xml:space="preserve">Земельный налог с организаций, обладающих земельным </w:t>
            </w:r>
            <w:r>
              <w:t>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t>549,2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t>578,2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t>578,2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B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C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t>6 065,5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t>11 555,6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t>11 555,6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0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C100000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t>6 065,5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3000000">
            <w:pPr>
              <w:ind/>
              <w:jc w:val="center"/>
            </w:pPr>
            <w:r>
              <w:t>11 555,6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</w:pPr>
            <w:r>
              <w:t>11 555,6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5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C6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8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A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CB000000">
            <w:r>
              <w:t xml:space="preserve">Государственная пошлина за </w:t>
            </w:r>
            <w:r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D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F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0000000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4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5000000">
            <w:r>
              <w:t>ДОХОДЫ ОТ ИСПОЛЬЗОВАНИЯ ИМУЩЕСТВА, НАХОДЯЩЕГОСЯ В ГОСУДАРСТВЕННОЙ И МУНИЦИПАЛЬНОЙ СОБСТ</w:t>
            </w:r>
            <w:r>
              <w:t>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6000000">
            <w:pPr>
              <w:ind/>
              <w:jc w:val="center"/>
            </w:pPr>
            <w:r>
              <w:t>406,7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7000000">
            <w:pPr>
              <w:ind/>
              <w:jc w:val="center"/>
            </w:pPr>
            <w:r>
              <w:t>422,9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</w:pPr>
            <w:r>
              <w:t>439,8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9000000">
            <w:r>
              <w:rPr>
                <w:sz w:val="22"/>
              </w:rP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A000000">
            <w:r>
              <w:rPr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>
              <w:rPr>
                <w:sz w:val="22"/>
              </w:rPr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t>406,7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C000000">
            <w:pPr>
              <w:ind/>
              <w:jc w:val="center"/>
            </w:pPr>
            <w:r>
              <w:t>422,9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</w:pPr>
            <w:r>
              <w:t>439,8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E000000">
            <w:r>
              <w:rPr>
                <w:sz w:val="22"/>
              </w:rP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F000000">
            <w:r>
              <w:rPr>
                <w:sz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</w:t>
            </w:r>
            <w:r>
              <w:rPr>
                <w:sz w:val="22"/>
              </w:rPr>
              <w:t>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rPr>
                <w:sz w:val="22"/>
              </w:rPr>
              <w:t>114,0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1000000">
            <w:pPr>
              <w:ind/>
              <w:jc w:val="center"/>
            </w:pPr>
            <w:r>
              <w:rPr>
                <w:sz w:val="22"/>
              </w:rPr>
              <w:t>118,6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rPr>
                <w:sz w:val="22"/>
              </w:rPr>
              <w:t>123,3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3000000">
            <w:r>
              <w:rPr>
                <w:sz w:val="22"/>
              </w:rPr>
              <w:t>1 11 05025 10 0000 120</w:t>
            </w:r>
          </w:p>
          <w:p w14:paraId="E4000000"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5000000">
            <w:pPr>
              <w:ind/>
              <w:jc w:val="both"/>
            </w:pPr>
            <w:r>
              <w:rPr>
                <w:sz w:val="22"/>
              </w:rPr>
              <w:t xml:space="preserve">Доходы, получаемые в виде </w:t>
            </w:r>
            <w:r>
              <w:rPr>
                <w:sz w:val="22"/>
              </w:rPr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rPr>
                <w:sz w:val="22"/>
              </w:rPr>
              <w:t>114,0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rPr>
                <w:sz w:val="22"/>
              </w:rPr>
              <w:t>118,6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rPr>
                <w:sz w:val="22"/>
              </w:rPr>
              <w:t>123,3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9000000">
            <w:r>
              <w:t xml:space="preserve">1 11 05030 00 </w:t>
            </w:r>
            <w:r>
              <w:t>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A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>
              <w:t>государственными внебюджетными фондами и созданных ими учреждений (за исключением имущест</w:t>
            </w:r>
            <w:r>
              <w:t xml:space="preserve">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rPr>
                <w:sz w:val="22"/>
              </w:rPr>
              <w:t>271,6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rPr>
                <w:sz w:val="22"/>
              </w:rPr>
              <w:t>282,4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rPr>
                <w:sz w:val="22"/>
              </w:rPr>
              <w:t>293,7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E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F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</w:t>
            </w:r>
            <w:r>
              <w:t>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rPr>
                <w:sz w:val="22"/>
              </w:rPr>
              <w:t>271,6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rPr>
                <w:sz w:val="22"/>
              </w:rPr>
              <w:t>282,4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rPr>
                <w:sz w:val="22"/>
              </w:rPr>
              <w:t>293,7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300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F400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t>21,1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t>21,9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t>22,8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800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F9000000">
            <w:pPr>
              <w:ind/>
              <w:jc w:val="both"/>
            </w:pPr>
            <w:r>
              <w:t xml:space="preserve">Доходы от </w:t>
            </w:r>
            <w:r>
              <w:t>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t>21,1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t>21,9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22,8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FD00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FE00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0201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3010000">
            <w:r>
              <w:t xml:space="preserve">Административные штрафы, установленные </w:t>
            </w:r>
            <w:r>
              <w:t>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4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5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0701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8010000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</w:t>
            </w:r>
            <w:r>
              <w:t xml:space="preserve">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9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A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bottom"/>
          </w:tcPr>
          <w:p w14:paraId="0C010000">
            <w:r>
              <w:t>1 17 00000 00 0000 000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D01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E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bottom"/>
          </w:tcPr>
          <w:p w14:paraId="11010000">
            <w:r>
              <w:t>1 17 15000 00 0000 150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2010000">
            <w:r>
              <w:t>Инициативные платежи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3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bottom"/>
          </w:tcPr>
          <w:p w14:paraId="16010000">
            <w:r>
              <w:t>1 17 15030 10 0000 150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7010000">
            <w:r>
              <w:t>Инициативные платежи, зачисляемые в бюджеты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8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9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1B010000">
            <w:r>
              <w:t>2 00 00000 00 0000</w:t>
            </w:r>
            <w:r>
              <w:t xml:space="preserve">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C01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D010000">
            <w:pPr>
              <w:ind/>
              <w:jc w:val="center"/>
            </w:pPr>
            <w:r>
              <w:t>14 085,4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E010000">
            <w:pPr>
              <w:ind/>
              <w:jc w:val="center"/>
            </w:pPr>
            <w:r>
              <w:t>9 762,8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t>8 860,7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2001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2101000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2010000">
            <w:pPr>
              <w:ind/>
              <w:jc w:val="center"/>
            </w:pPr>
            <w:r>
              <w:t>14 085,4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t>9 762,8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8 860,7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25010000">
            <w:r>
              <w:t>2 02 10000 00 0000 150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26010000">
            <w:pPr>
              <w:ind/>
              <w:jc w:val="both"/>
            </w:pPr>
            <w:r>
              <w:t xml:space="preserve">Дотации бюджетам бюджетной системы </w:t>
            </w:r>
            <w:r>
              <w:t>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7010000">
            <w:pPr>
              <w:ind/>
              <w:jc w:val="center"/>
            </w:pPr>
            <w:r>
              <w:t>12 943,2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8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2A01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2B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C010000">
            <w:pPr>
              <w:ind/>
              <w:jc w:val="center"/>
            </w:pPr>
            <w:r>
              <w:t>11 719,0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2F01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30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1010000">
            <w:pPr>
              <w:ind/>
              <w:jc w:val="center"/>
            </w:pPr>
            <w:r>
              <w:t>11 719,0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2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34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bottom"/>
          </w:tcPr>
          <w:p w14:paraId="35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6010000">
            <w:pPr>
              <w:ind/>
              <w:jc w:val="center"/>
            </w:pPr>
            <w:r>
              <w:t>1 224,2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39010000">
            <w:r>
              <w:t>2 02 15002 10 0000 150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bottom"/>
          </w:tcPr>
          <w:p w14:paraId="3A010000">
            <w:pPr>
              <w:spacing w:after="120" w:before="120"/>
              <w:ind w:firstLine="0" w:left="120" w:right="12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B010000">
            <w:pPr>
              <w:ind/>
              <w:jc w:val="center"/>
            </w:pPr>
            <w:r>
              <w:t>1 224,2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3E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3F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0010000">
            <w:pPr>
              <w:ind/>
              <w:jc w:val="center"/>
            </w:pPr>
            <w:r>
              <w:t>352,8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t>387,6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t>423,0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3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4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8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9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D010000">
            <w:r>
              <w:t xml:space="preserve">2 </w:t>
            </w:r>
            <w:r>
              <w:t>02 35118 00 0000 150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E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F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2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3010000">
            <w:pPr>
              <w:ind/>
              <w:jc w:val="both"/>
            </w:pPr>
            <w:r>
              <w:t xml:space="preserve">Субвенции бюджетам сельских поселений на </w:t>
            </w: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4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7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8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901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C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D010000">
            <w:r>
              <w:t xml:space="preserve">Прочие межбюджетные </w:t>
            </w:r>
            <w:r>
              <w:t>трансферты, передаваемые 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E01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61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62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6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6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7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</w:tbl>
    <w:p w14:paraId="6B010000">
      <w:pPr>
        <w:widowControl w:val="0"/>
        <w:ind/>
        <w:jc w:val="both"/>
      </w:pPr>
    </w:p>
    <w:p w14:paraId="6C010000">
      <w:pPr>
        <w:widowControl w:val="0"/>
        <w:ind/>
        <w:jc w:val="both"/>
      </w:pPr>
    </w:p>
    <w:p w14:paraId="6D010000">
      <w:pPr>
        <w:widowControl w:val="0"/>
        <w:ind/>
        <w:jc w:val="both"/>
      </w:pPr>
    </w:p>
    <w:p w14:paraId="6E010000">
      <w:pPr>
        <w:widowControl w:val="0"/>
        <w:ind/>
        <w:jc w:val="both"/>
      </w:pPr>
    </w:p>
    <w:p w14:paraId="6F010000">
      <w:pPr>
        <w:widowControl w:val="0"/>
        <w:ind/>
        <w:jc w:val="both"/>
      </w:pPr>
    </w:p>
    <w:p w14:paraId="70010000">
      <w:pPr>
        <w:widowControl w:val="0"/>
        <w:ind/>
        <w:jc w:val="both"/>
      </w:pPr>
    </w:p>
    <w:tbl>
      <w:tblPr>
        <w:tblStyle w:val="Style_4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widowControl w:val="0"/>
              <w:ind/>
              <w:jc w:val="both"/>
            </w:pPr>
          </w:p>
        </w:tc>
        <w:tc>
          <w:tcPr>
            <w:tcW w:type="dxa" w:w="69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73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74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501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76010000">
      <w:pPr>
        <w:widowControl w:val="0"/>
        <w:ind/>
        <w:jc w:val="center"/>
      </w:pPr>
      <w:r>
        <w:t xml:space="preserve">Источники финансирования дефицита бюджета </w:t>
      </w:r>
    </w:p>
    <w:p w14:paraId="77010000">
      <w:pPr>
        <w:widowControl w:val="0"/>
        <w:ind/>
        <w:jc w:val="center"/>
      </w:pPr>
      <w:r>
        <w:t>Кринично-Лугского</w:t>
      </w:r>
      <w:r>
        <w:t xml:space="preserve"> сельского поселения Куйбышевского района на 2024 год на плановый период 2025 и 2026 годов                                           </w:t>
      </w:r>
      <w:r>
        <w:t xml:space="preserve">      </w:t>
      </w:r>
    </w:p>
    <w:p w14:paraId="78010000">
      <w:pPr>
        <w:widowControl w:val="0"/>
        <w:ind/>
        <w:jc w:val="right"/>
      </w:pPr>
      <w:r>
        <w:t>(тыс. рублей)</w:t>
      </w:r>
    </w:p>
    <w:tbl>
      <w:tblPr>
        <w:tblStyle w:val="Style_4"/>
        <w:tblInd w:type="dxa" w:w="93"/>
        <w:tblLayout w:type="fixed"/>
      </w:tblPr>
      <w:tblGrid>
        <w:gridCol w:w="3600"/>
        <w:gridCol w:w="6555"/>
        <w:gridCol w:w="1467"/>
        <w:gridCol w:w="1434"/>
        <w:gridCol w:w="1434"/>
      </w:tblGrid>
      <w:tr>
        <w:trPr>
          <w:trHeight w:hRule="atLeast" w:val="421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</w:pPr>
            <w:r>
              <w:t xml:space="preserve">2025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629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t>01 00 00 00 00 0000 000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F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10000">
            <w:pPr>
              <w:tabs>
                <w:tab w:leader="none" w:pos="552" w:val="left"/>
              </w:tabs>
              <w:ind/>
            </w:pPr>
            <w:r>
              <w:t xml:space="preserve">Изменение остатков средств на </w:t>
            </w:r>
            <w:r>
              <w:t>счетах по учету средств бюджета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t xml:space="preserve">Увеличение остатков средств бюджетов 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 xml:space="preserve"> 01 05 02 00 00 0000 500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rFonts w:ascii="Times New Roman CYR" w:hAnsi="Times New Roman CYR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617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</w:pPr>
            <w:r>
              <w:t xml:space="preserve"> 01 05 02 01 00 0000 510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</w:pPr>
            <w:r>
              <w:t xml:space="preserve"> 01 05 02 01 10 0000 510</w:t>
            </w:r>
          </w:p>
          <w:p w14:paraId="98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01 05 00 00 00 0000 600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both"/>
              <w:rPr>
                <w:rFonts w:ascii="Times New Roman CYR" w:hAnsi="Times New Roman CYR"/>
              </w:rPr>
            </w:pPr>
            <w:r>
              <w:t xml:space="preserve">Уменьшение остатков </w:t>
            </w:r>
            <w:r>
              <w:t>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</w:pPr>
            <w:r>
              <w:t xml:space="preserve"> 01 05 02 00 00 0000 600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3010000">
            <w:pPr>
              <w:pStyle w:val="Style_5"/>
              <w:ind w:firstLine="0" w:left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</w:pPr>
            <w:r>
              <w:t xml:space="preserve"> 01 05 02 01 00 0000 610</w:t>
            </w:r>
          </w:p>
          <w:p w14:paraId="A8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46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 xml:space="preserve"> 01 05 02 01 10 0000 610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</w:tbl>
    <w:p w14:paraId="B2010000">
      <w:pPr>
        <w:sectPr>
          <w:footerReference r:id="rId6" w:type="default"/>
          <w:pgSz w:h="11906" w:orient="landscape" w:w="16838"/>
          <w:pgMar w:bottom="851" w:footer="709" w:gutter="0" w:header="709" w:left="1134" w:right="1077" w:top="1304"/>
        </w:sectPr>
      </w:pPr>
    </w:p>
    <w:tbl>
      <w:tblPr>
        <w:tblStyle w:val="Style_4"/>
        <w:tblLayout w:type="fixed"/>
      </w:tblPr>
      <w:tblGrid>
        <w:gridCol w:w="4785"/>
        <w:gridCol w:w="4785"/>
      </w:tblGrid>
      <w:tr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3010000">
            <w:pPr>
              <w:rPr>
                <w:rFonts w:ascii="Calibri" w:hAnsi="Calibri"/>
              </w:rPr>
            </w:pPr>
          </w:p>
        </w:tc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4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3 </w:t>
            </w:r>
          </w:p>
          <w:p w14:paraId="B5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6010000">
            <w:pPr>
              <w:ind/>
              <w:jc w:val="right"/>
              <w:rPr>
                <w:rFonts w:ascii="Calibri" w:hAnsi="Calibri"/>
              </w:rPr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B7010000">
            <w:pPr>
              <w:ind/>
              <w:jc w:val="right"/>
              <w:rPr>
                <w:rFonts w:ascii="Calibri" w:hAnsi="Calibri"/>
              </w:rPr>
            </w:pPr>
            <w:r>
              <w:rPr>
                <w:sz w:val="26"/>
              </w:rPr>
              <w:t xml:space="preserve">от 22.12.2023 </w:t>
            </w:r>
            <w:r>
              <w:rPr>
                <w:sz w:val="26"/>
              </w:rPr>
              <w:t>года № 98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</w:tr>
    </w:tbl>
    <w:p w14:paraId="B8010000"/>
    <w:p w14:paraId="B9010000"/>
    <w:p w14:paraId="BA010000"/>
    <w:p w14:paraId="BB010000">
      <w:pPr>
        <w:pStyle w:val="Style_6"/>
        <w:widowControl w:val="0"/>
        <w:spacing w:after="0"/>
        <w:ind/>
        <w:jc w:val="center"/>
        <w:rPr>
          <w:sz w:val="28"/>
        </w:rPr>
      </w:pPr>
      <w:r>
        <w:tab/>
      </w:r>
      <w:r>
        <w:rPr>
          <w:sz w:val="28"/>
        </w:rPr>
        <w:t>Нормативы распределения доходов</w:t>
      </w:r>
    </w:p>
    <w:p w14:paraId="BC010000">
      <w:pPr>
        <w:pStyle w:val="Style_6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 xml:space="preserve">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</w:p>
    <w:p w14:paraId="BD010000">
      <w:pPr>
        <w:pStyle w:val="Style_6"/>
        <w:widowControl w:val="0"/>
        <w:ind/>
        <w:jc w:val="center"/>
        <w:rPr>
          <w:sz w:val="28"/>
        </w:rPr>
      </w:pPr>
      <w:r>
        <w:rPr>
          <w:sz w:val="28"/>
        </w:rPr>
        <w:t xml:space="preserve">на 2024 год и плановый период 2025 и 2026 годов                                                                                                                                                                                               </w:t>
      </w:r>
    </w:p>
    <w:p w14:paraId="BE010000">
      <w:pPr>
        <w:pStyle w:val="Style_6"/>
        <w:widowControl w:val="0"/>
        <w:ind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Style w:val="Style_4"/>
        <w:tblInd w:type="dxa" w:w="456"/>
        <w:tblLayout w:type="fixed"/>
        <w:tblCellMar>
          <w:left w:type="dxa" w:w="30"/>
          <w:right w:type="dxa" w:w="30"/>
        </w:tblCellMar>
      </w:tblPr>
      <w:tblGrid>
        <w:gridCol w:w="6804"/>
        <w:gridCol w:w="1701"/>
      </w:tblGrid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  <w:vAlign w:val="center"/>
          </w:tcPr>
          <w:p w14:paraId="BF010000">
            <w:pPr>
              <w:ind w:firstLine="113"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0010000">
            <w:r>
              <w:t>Бюджеты сельских поселений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1010000">
            <w:pPr>
              <w:rPr>
                <w:b w:val="1"/>
              </w:rPr>
            </w:pPr>
            <w:r>
              <w:rPr>
                <w:b w:val="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2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3010000">
            <w:r>
              <w:t>Доходы от оказания платных услуг (работ)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4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5010000">
            <w:r>
              <w:t>Прочие доходы от оказания платных услуг (работ)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6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7010000">
            <w:r>
              <w:t>Прочие доходы от оказания платных услуг (работ)</w:t>
            </w:r>
            <w:r>
              <w:t xml:space="preserve"> получателями средств бюджетов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8010000">
            <w:r>
              <w:t>100,0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9010000">
            <w:r>
              <w:t>Доходы от компенсации затрат государства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A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B010000">
            <w:r>
              <w:t>Прочие доходы от компенсации затрат государства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C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D010000">
            <w:r>
              <w:t>Прочие доходы от компенсации затрат бюджетов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E010000">
            <w:r>
              <w:t>100,0</w:t>
            </w:r>
          </w:p>
        </w:tc>
      </w:tr>
      <w:tr>
        <w:tc>
          <w:tcPr>
            <w:tcW w:type="dxa" w:w="6804"/>
            <w:tcBorders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F010000">
            <w:r>
              <w:t>Доходы, поступающие в порядке возмещения расходов, по</w:t>
            </w:r>
            <w:r>
              <w:t>несенных в связи с эксплуатацией имущества</w:t>
            </w:r>
          </w:p>
        </w:tc>
        <w:tc>
          <w:tcPr>
            <w:tcW w:type="dxa" w:w="170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0010000"/>
        </w:tc>
      </w:tr>
      <w:tr>
        <w:tc>
          <w:tcPr>
            <w:tcW w:type="dxa" w:w="6804"/>
            <w:tcBorders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1010000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170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2010000">
            <w:r>
              <w:t>100,0</w:t>
            </w:r>
          </w:p>
        </w:tc>
      </w:tr>
      <w:tr>
        <w:tc>
          <w:tcPr>
            <w:tcW w:type="dxa" w:w="6804"/>
            <w:tcBorders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3010000">
            <w:r>
              <w:rPr>
                <w:b w:val="1"/>
              </w:rPr>
              <w:t>Доходы от штрафов, санкций, возмещения ущерба</w:t>
            </w:r>
          </w:p>
        </w:tc>
        <w:tc>
          <w:tcPr>
            <w:tcW w:type="dxa" w:w="170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4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5010000">
            <w:r>
              <w:t xml:space="preserve">Административные штрафы, установленные </w:t>
            </w:r>
            <w:r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6010000">
            <w:r>
              <w:t>100,0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7010000">
            <w:pPr>
              <w:rPr>
                <w:b w:val="1"/>
              </w:rPr>
            </w:pPr>
            <w:r>
              <w:rPr>
                <w:b w:val="1"/>
              </w:rPr>
              <w:t>Доходы от прочих неналоговых доходов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8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9010000">
            <w:r>
              <w:t>Невыясненные поступления, зачисляемые в бюджеты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A010000">
            <w:r>
              <w:t>100,0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B010000">
            <w:r>
              <w:t xml:space="preserve">Прочие неналоговые доходы </w:t>
            </w:r>
            <w:r>
              <w:t>бюджетов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C010000">
            <w:r>
              <w:t>100,0</w:t>
            </w:r>
          </w:p>
        </w:tc>
      </w:tr>
    </w:tbl>
    <w:p w14:paraId="DD010000">
      <w:pPr>
        <w:tabs>
          <w:tab w:leader="none" w:pos="3660" w:val="left"/>
        </w:tabs>
        <w:ind/>
      </w:pPr>
    </w:p>
    <w:p w14:paraId="DE010000"/>
    <w:p w14:paraId="DF010000">
      <w:pPr>
        <w:sectPr>
          <w:footerReference r:id="rId2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4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E2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E3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E401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E5010000">
      <w:pPr>
        <w:ind/>
        <w:jc w:val="center"/>
      </w:pPr>
    </w:p>
    <w:p w14:paraId="E6010000">
      <w:pPr>
        <w:ind/>
        <w:jc w:val="center"/>
      </w:pPr>
      <w:r>
        <w:t>Р</w:t>
      </w:r>
      <w:r>
        <w:rPr>
          <w:sz w:val="28"/>
        </w:rPr>
        <w:t>аспределение бюджетных ассигнований по разделам, подразделам, целевым статьям  (муниципальным</w:t>
      </w:r>
      <w:r>
        <w:rPr>
          <w:sz w:val="28"/>
        </w:rPr>
        <w:t xml:space="preserve">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2024 год на плановый период 2025 и 2026 годов</w:t>
      </w:r>
    </w:p>
    <w:p w14:paraId="E701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E8010000">
      <w:pPr>
        <w:widowControl w:val="0"/>
        <w:ind/>
        <w:jc w:val="right"/>
        <w:rPr>
          <w:sz w:val="22"/>
        </w:rPr>
      </w:pPr>
    </w:p>
    <w:tbl>
      <w:tblPr>
        <w:tblStyle w:val="Style_4"/>
        <w:tblInd w:type="dxa" w:w="33"/>
        <w:tblLayout w:type="fixed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>
        <w:trPr>
          <w:trHeight w:hRule="atLeast" w:val="835"/>
        </w:trPr>
        <w:tc>
          <w:tcPr>
            <w:tcW w:type="dxa" w:w="8118"/>
            <w:tcBorders>
              <w:top w:color="000000" w:sz="4" w:val="single"/>
              <w:left w:color="000000" w:sz="4" w:val="single"/>
            </w:tcBorders>
            <w:vAlign w:val="center"/>
          </w:tcPr>
          <w:p w14:paraId="E9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>2024 год</w:t>
            </w:r>
          </w:p>
          <w:p w14:paraId="EF01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2025 год</w:t>
            </w:r>
          </w:p>
          <w:p w14:paraId="F101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2026 год</w:t>
            </w:r>
          </w:p>
          <w:p w14:paraId="F301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401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10 887,6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12 486,4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14 027,9</w:t>
            </w:r>
          </w:p>
        </w:tc>
      </w:tr>
      <w:tr>
        <w:trPr>
          <w:trHeight w:hRule="atLeast" w:val="656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C01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FD01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FE010000">
            <w:r>
              <w:t>03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FF01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0002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4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C020000">
            <w:pPr>
              <w:ind/>
              <w:jc w:val="both"/>
            </w:pPr>
            <w:r>
              <w:t xml:space="preserve">Расходы на </w:t>
            </w:r>
            <w:r>
              <w:t xml:space="preserve">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</w:t>
            </w:r>
            <w:r>
              <w:t>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F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1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C020000">
            <w:r>
              <w:t xml:space="preserve">Мероприятия  по обеспечению </w:t>
            </w:r>
            <w:r>
              <w:t xml:space="preserve">пожарной безопасности в рамках </w:t>
            </w:r>
            <w:r>
              <w:t>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</w:t>
            </w:r>
            <w:r>
              <w:t>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F020000">
            <w:pPr>
              <w:ind/>
              <w:jc w:val="center"/>
            </w:pPr>
            <w:r>
              <w:t xml:space="preserve">75 1 00 </w:t>
            </w:r>
            <w:r>
              <w:t>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102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802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r>
              <w:t xml:space="preserve">Расходы на обеспечение функций Администрации </w:t>
            </w:r>
            <w:r>
              <w:t>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0</w:t>
            </w:r>
            <w:r>
              <w:t>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102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9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98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C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4020000">
            <w:r>
              <w:t>Субвенция на осуществление полномочий по определению в соответствии с частью 1</w:t>
            </w:r>
            <w:r>
              <w:t xml:space="preserve">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>
              <w:t>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7020000">
            <w:pPr>
              <w:ind/>
              <w:jc w:val="center"/>
            </w:pPr>
            <w:r>
              <w:t xml:space="preserve">89 9 00 72390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9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A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C020000">
            <w:r>
              <w:t>Обеспечение проведения выборов и референдумов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F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0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4020000">
            <w:r>
              <w:t xml:space="preserve">Расходы </w:t>
            </w:r>
            <w:r>
              <w:t xml:space="preserve">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C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F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0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4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r>
              <w:t xml:space="preserve">Другие общегосударственные </w:t>
            </w:r>
            <w:r>
              <w:t>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7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1 067,9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1 589,1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4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</w:t>
            </w:r>
            <w:r>
              <w:t xml:space="preserve">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</w:t>
            </w:r>
            <w:r>
              <w:t>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1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4020000">
            <w:r>
              <w:t>Создание и развитие информационной и телекоммуникац</w:t>
            </w:r>
            <w:r>
              <w:t>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ind/>
              <w:jc w:val="center"/>
            </w:pPr>
            <w:r>
              <w:t>79 1 00 0</w:t>
            </w:r>
            <w:r>
              <w:t>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902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A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C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</w:t>
            </w:r>
            <w:r>
              <w:t xml:space="preserve">«Муниципальная политика» (Уплата </w:t>
            </w:r>
            <w:r>
              <w:t>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4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</w:t>
            </w:r>
            <w:r>
              <w:t xml:space="preserve">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95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96020000"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97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98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9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C020000">
            <w:r>
              <w:t xml:space="preserve">Иные межбюджетные трансферты передаваемые  другим бюджетам бюджетной </w:t>
            </w:r>
            <w:r>
              <w:t xml:space="preserve">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202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4020000">
            <w:r>
              <w:t xml:space="preserve">Условно </w:t>
            </w:r>
            <w:r>
              <w:t>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A02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C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2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4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A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C02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902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both"/>
            </w:pPr>
            <w:r>
              <w:t xml:space="preserve">Субвенция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</w:t>
            </w:r>
            <w:r>
              <w:t>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F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0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102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202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r>
              <w:t>Защита населения и территории от чрезвычайных ситуаций природного и техногенного характера,</w:t>
            </w:r>
            <w:r>
              <w:t xml:space="preserve">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4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9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C02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D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0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4020000">
            <w:pPr>
              <w:ind/>
              <w:jc w:val="both"/>
            </w:pPr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F5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F602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8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9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A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C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FD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FE02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FF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0003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1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403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05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06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07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2 709,9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C03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0D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0E030000"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</w:tcPr>
          <w:p w14:paraId="0F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</w:tcPr>
          <w:p w14:paraId="1003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11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12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403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</w:t>
            </w:r>
            <w:r>
              <w:t xml:space="preserve">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7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9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A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C03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1030000">
            <w:pPr>
              <w:ind/>
              <w:jc w:val="center"/>
            </w:pPr>
            <w:r>
              <w:t>2 700,3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203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4030000">
            <w:pPr>
              <w:ind/>
              <w:jc w:val="both"/>
            </w:pPr>
            <w:r>
              <w:t>Реализация программ</w:t>
            </w:r>
            <w:r>
              <w:t xml:space="preserve">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</w:t>
            </w:r>
            <w: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703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9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C03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реализацию мероприятий по содержанию памятников и кладбищ в рамках подпрограммы «Содержание объектов благоуст</w:t>
            </w:r>
            <w:r>
              <w:rPr>
                <w:rFonts w:ascii="Times New Roman" w:hAnsi="Times New Roman"/>
                <w:sz w:val="24"/>
              </w:rPr>
              <w:t xml:space="preserve">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</w:t>
            </w:r>
            <w:r>
              <w:rPr>
                <w:rFonts w:ascii="Times New Roman" w:hAnsi="Times New Roman"/>
                <w:sz w:val="24"/>
              </w:rPr>
              <w:t>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F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1030000">
            <w:pPr>
              <w:ind/>
              <w:jc w:val="center"/>
            </w:pPr>
            <w:r>
              <w:t>146,8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403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</w:t>
            </w:r>
            <w:r>
              <w:t xml:space="preserve">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703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9030000">
            <w:pPr>
              <w:ind/>
              <w:jc w:val="center"/>
            </w:pPr>
            <w:r>
              <w:t>171,0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A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C030000">
            <w:r>
              <w:t>Расходы</w:t>
            </w:r>
            <w:r>
              <w:t xml:space="preserve">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</w:t>
            </w:r>
            <w:r>
              <w:t xml:space="preserve">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F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103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203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3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22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903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r>
              <w:t xml:space="preserve">Мероприятия по замене ламп накаливания и других неэффективных элементов систем </w:t>
            </w:r>
            <w:r>
              <w:t xml:space="preserve">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</w:t>
            </w:r>
            <w:r>
              <w:t>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</w:t>
            </w:r>
            <w:r>
              <w:t>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F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1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4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</w:t>
            </w:r>
            <w:r>
              <w:t xml:space="preserve">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8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9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A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0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4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9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A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C030000">
            <w:r>
              <w:t>Комплексные</w:t>
            </w:r>
            <w:r>
              <w:t xml:space="preserve">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D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1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2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4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75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76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C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7D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7E030000"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0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1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4030000">
            <w:r>
              <w:t>Развитие системы подготовки кадров для</w:t>
            </w:r>
            <w:r>
              <w:t xml:space="preserve">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</w:t>
            </w:r>
            <w:r>
              <w:t>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7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9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C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D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91030000">
            <w:pPr>
              <w:rPr>
                <w:b w:val="1"/>
              </w:rPr>
            </w:pPr>
            <w:r>
              <w:rPr>
                <w:b w:val="1"/>
              </w:rPr>
              <w:t>14 143,1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4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5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7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99030000">
            <w:r>
              <w:t>14 143,1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A03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3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C030000">
            <w:r>
              <w:t xml:space="preserve">расходы бюджета сельского поселения на содержание и обеспечение </w:t>
            </w:r>
            <w:r>
              <w:t xml:space="preserve">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</w:t>
            </w:r>
            <w:r>
              <w:t>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D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E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F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0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103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203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3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1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4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5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7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C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D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F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0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103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203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3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4030000">
            <w:r>
              <w:t xml:space="preserve">Расходы на выплату пенсии за выслугу лет лицам, замещающим муниципальные </w:t>
            </w:r>
            <w:r>
              <w:t xml:space="preserve">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8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903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A03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3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r>
              <w:t>ФИЗИЧЕСКАЯ КУЛЬТ</w:t>
            </w:r>
            <w:r>
              <w:t>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7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9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A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C03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</w:t>
            </w:r>
            <w:r>
              <w:t xml:space="preserve">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E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1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403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503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6030000">
            <w:pPr>
              <w:ind/>
              <w:jc w:val="center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703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803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9030000">
            <w:pPr>
              <w:ind/>
              <w:jc w:val="center"/>
            </w:pPr>
            <w:r>
              <w:t>28 387,7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A03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30000">
            <w:pPr>
              <w:ind/>
              <w:jc w:val="center"/>
            </w:pPr>
            <w:r>
              <w:t>28 917,5</w:t>
            </w:r>
          </w:p>
        </w:tc>
      </w:tr>
    </w:tbl>
    <w:p w14:paraId="DC030000"/>
    <w:p w14:paraId="DD030000">
      <w:pPr>
        <w:widowControl w:val="0"/>
        <w:ind/>
        <w:jc w:val="center"/>
      </w:pPr>
    </w:p>
    <w:p w14:paraId="DE030000">
      <w:pPr>
        <w:widowControl w:val="0"/>
        <w:ind/>
        <w:jc w:val="center"/>
      </w:pPr>
    </w:p>
    <w:p w14:paraId="DF030000">
      <w:pPr>
        <w:widowControl w:val="0"/>
        <w:ind/>
        <w:jc w:val="center"/>
      </w:pPr>
    </w:p>
    <w:p w14:paraId="E0030000">
      <w:pPr>
        <w:widowControl w:val="0"/>
        <w:ind/>
        <w:jc w:val="center"/>
      </w:pPr>
    </w:p>
    <w:p w14:paraId="E1030000">
      <w:pPr>
        <w:widowControl w:val="0"/>
        <w:ind/>
        <w:jc w:val="center"/>
      </w:pPr>
    </w:p>
    <w:p w14:paraId="E2030000">
      <w:pPr>
        <w:widowControl w:val="0"/>
        <w:ind/>
        <w:jc w:val="center"/>
      </w:pPr>
    </w:p>
    <w:p w14:paraId="E3030000">
      <w:pPr>
        <w:widowControl w:val="0"/>
        <w:ind/>
        <w:jc w:val="center"/>
      </w:pPr>
    </w:p>
    <w:p w14:paraId="E4030000">
      <w:pPr>
        <w:widowControl w:val="0"/>
        <w:ind/>
        <w:jc w:val="center"/>
      </w:pPr>
    </w:p>
    <w:p w14:paraId="E5030000">
      <w:pPr>
        <w:widowControl w:val="0"/>
        <w:ind/>
        <w:jc w:val="center"/>
      </w:pPr>
    </w:p>
    <w:p w14:paraId="E6030000">
      <w:pPr>
        <w:widowControl w:val="0"/>
        <w:ind/>
        <w:jc w:val="center"/>
      </w:pPr>
    </w:p>
    <w:p w14:paraId="E7030000">
      <w:pPr>
        <w:widowControl w:val="0"/>
        <w:ind/>
        <w:jc w:val="center"/>
      </w:pPr>
    </w:p>
    <w:p w14:paraId="E8030000">
      <w:pPr>
        <w:widowControl w:val="0"/>
        <w:ind/>
        <w:jc w:val="center"/>
      </w:pPr>
    </w:p>
    <w:p w14:paraId="E9030000">
      <w:pPr>
        <w:widowControl w:val="0"/>
        <w:ind/>
        <w:jc w:val="center"/>
      </w:pPr>
    </w:p>
    <w:p w14:paraId="EA030000">
      <w:pPr>
        <w:widowControl w:val="0"/>
        <w:ind/>
        <w:jc w:val="center"/>
      </w:pPr>
    </w:p>
    <w:p w14:paraId="EB030000">
      <w:pPr>
        <w:widowControl w:val="0"/>
        <w:ind/>
        <w:jc w:val="center"/>
      </w:pPr>
    </w:p>
    <w:p w14:paraId="EC030000">
      <w:pPr>
        <w:widowControl w:val="0"/>
        <w:ind/>
        <w:jc w:val="center"/>
      </w:pPr>
    </w:p>
    <w:p w14:paraId="ED030000">
      <w:pPr>
        <w:widowControl w:val="0"/>
        <w:ind/>
        <w:jc w:val="center"/>
      </w:pPr>
    </w:p>
    <w:p w14:paraId="EE030000">
      <w:pPr>
        <w:widowControl w:val="0"/>
        <w:ind/>
        <w:jc w:val="center"/>
      </w:pPr>
    </w:p>
    <w:p w14:paraId="EF030000">
      <w:pPr>
        <w:widowControl w:val="0"/>
        <w:ind/>
        <w:jc w:val="center"/>
      </w:pPr>
    </w:p>
    <w:tbl>
      <w:tblPr>
        <w:tblStyle w:val="Style_4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F203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F303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F403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F5030000">
      <w:pPr>
        <w:widowControl w:val="0"/>
        <w:ind/>
        <w:jc w:val="center"/>
      </w:pPr>
    </w:p>
    <w:p w14:paraId="F603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F7030000">
      <w:pPr>
        <w:widowControl w:val="0"/>
        <w:ind/>
        <w:jc w:val="center"/>
      </w:pPr>
      <w:r>
        <w:t>на 2024 год и на плановый период 2025 и 2026 годов</w:t>
      </w:r>
    </w:p>
    <w:p w14:paraId="F803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F9030000">
      <w:pPr>
        <w:widowControl w:val="0"/>
        <w:ind/>
        <w:jc w:val="right"/>
        <w:rPr>
          <w:sz w:val="22"/>
        </w:rPr>
      </w:pPr>
    </w:p>
    <w:tbl>
      <w:tblPr>
        <w:tblStyle w:val="Style_4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A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B03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C03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D03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E03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F03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0040000">
            <w:pPr>
              <w:ind/>
              <w:jc w:val="center"/>
            </w:pPr>
            <w:r>
              <w:t>2024 год</w:t>
            </w:r>
          </w:p>
          <w:p w14:paraId="0104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</w:tcPr>
          <w:p w14:paraId="02040000">
            <w:pPr>
              <w:ind/>
              <w:jc w:val="center"/>
            </w:pPr>
            <w:r>
              <w:t>2025 год</w:t>
            </w:r>
          </w:p>
          <w:p w14:paraId="0304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</w:pPr>
            <w:r>
              <w:t>2026 год</w:t>
            </w:r>
          </w:p>
          <w:p w14:paraId="0504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6040000">
            <w:r>
              <w:t xml:space="preserve">Администрация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8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9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A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B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C040000">
            <w:r>
              <w:t>28 177,3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D040000">
            <w:pPr>
              <w:ind/>
              <w:jc w:val="center"/>
            </w:pPr>
            <w:r>
              <w:t>29 450,4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</w:pPr>
            <w:r>
              <w:t>28 690,9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0F04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2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4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10 677,2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</w:tcPr>
          <w:p w14:paraId="1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12 268,2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13 801,3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8040000">
            <w:pPr>
              <w:ind/>
              <w:jc w:val="both"/>
            </w:pPr>
            <w: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>
              <w:t>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D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104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4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5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704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8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A040000">
            <w:pPr>
              <w:ind/>
              <w:jc w:val="both"/>
            </w:pPr>
            <w:r>
              <w:t>Расходы на выплаты по оплате труда руководства и работников Админис</w:t>
            </w:r>
            <w:r>
              <w:t>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ind/>
              <w:jc w:val="center"/>
            </w:pPr>
            <w:r>
              <w:t>82 2</w:t>
            </w:r>
            <w:r>
              <w:t xml:space="preserve">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F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004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104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4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304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6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7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904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A04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4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C04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F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2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504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8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9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A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B04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ind/>
              <w:jc w:val="center"/>
            </w:pPr>
            <w:r>
              <w:t>3</w:t>
            </w:r>
            <w:r>
              <w:t>03,2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4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E04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</w:t>
            </w:r>
            <w:r>
              <w:t>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1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204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4040000">
            <w:pPr>
              <w:ind/>
              <w:jc w:val="center"/>
            </w:pPr>
            <w:r>
              <w:t>0</w:t>
            </w:r>
            <w:r>
              <w:t>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5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7040000">
            <w:r>
              <w:t>Обеспечение проведения выборов и референдумов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A04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4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0040000">
            <w:r>
              <w:t xml:space="preserve">Расходы 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304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404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5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4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9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C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F04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0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2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5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6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7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804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9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B04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pPr>
              <w:ind/>
              <w:jc w:val="center"/>
            </w:pPr>
            <w:r>
              <w:t>387,1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ind/>
              <w:jc w:val="center"/>
            </w:pPr>
            <w:r>
              <w:t>1 067,9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40000">
            <w:pPr>
              <w:ind/>
              <w:jc w:val="center"/>
            </w:pPr>
            <w:r>
              <w:t>1 589,1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4040000">
            <w:r>
              <w:t xml:space="preserve">Расходы на приведение состояния зданий в соответствие с требованиями строительных норм по обеспечению их </w:t>
            </w:r>
            <w:r>
              <w:t xml:space="preserve">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</w:t>
            </w:r>
            <w:r>
              <w:t>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8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A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4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D040000">
            <w:r>
              <w:t xml:space="preserve">Расходы на мероприятия по усилению антитеррористической защищённости объектов социального назначения в рамках </w:t>
            </w:r>
            <w:r>
              <w:t xml:space="preserve">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</w:t>
            </w:r>
            <w:r>
              <w:t>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0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6040000">
            <w:r>
              <w:t xml:space="preserve"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</w:t>
            </w:r>
            <w:r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A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F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3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4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8040000">
            <w:r>
              <w:t xml:space="preserve">Оценка муниципального имущества, признание прав и </w:t>
            </w:r>
            <w:r>
              <w:t xml:space="preserve">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C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E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1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4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5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6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704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804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4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A04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D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E04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F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104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4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3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6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7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9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A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C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F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0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1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2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504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7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8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40000">
            <w:pPr>
              <w:ind/>
              <w:jc w:val="center"/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E04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0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1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2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3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404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4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704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</w:t>
            </w:r>
            <w:r>
              <w:t>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9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A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B04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C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D04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E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4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0040000"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2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3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4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904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B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C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F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0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2050000">
            <w:r>
              <w:t xml:space="preserve">Мероприятия  по обеспечению пожарной </w:t>
            </w:r>
            <w:r>
              <w:t xml:space="preserve">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5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605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8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9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B05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D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E05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405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6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7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8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9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A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D050000">
            <w:r>
              <w:t xml:space="preserve">Оценка муниципального имущества, </w:t>
            </w:r>
            <w:r>
              <w:t xml:space="preserve">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</w:t>
            </w:r>
            <w:r>
              <w:t>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F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0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1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3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4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6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8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9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2 709,9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F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2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3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4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5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8050000">
            <w:r>
              <w:t xml:space="preserve">Содержание и ремонт газового хозяйства в рамках подпрограммы </w:t>
            </w:r>
            <w:r>
              <w:t xml:space="preserve">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</w:t>
            </w:r>
            <w: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B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C05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E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1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3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7050000">
            <w:pPr>
              <w:ind/>
              <w:jc w:val="center"/>
            </w:pPr>
            <w:r>
              <w:t>2 700,3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805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5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A05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</w:t>
            </w:r>
            <w:r>
              <w:t xml:space="preserve">городской среды на территории </w:t>
            </w:r>
            <w:r>
              <w:t>Кринично-Лугс</w:t>
            </w:r>
            <w:r>
              <w:t>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C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D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E050000">
            <w:r>
              <w:t>22 1 00 55551</w:t>
            </w:r>
          </w:p>
          <w:p w14:paraId="4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1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4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7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8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A050000">
            <w:pPr>
              <w:ind/>
              <w:jc w:val="center"/>
            </w:pPr>
            <w:r>
              <w:t>146,8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B05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D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</w:t>
            </w:r>
            <w:r>
              <w:t xml:space="preserve">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</w:t>
            </w:r>
            <w:r>
              <w:t>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F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1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3050000">
            <w:pPr>
              <w:ind/>
              <w:jc w:val="center"/>
            </w:pPr>
            <w:r>
              <w:t>171,0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4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6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</w:t>
            </w:r>
            <w:r>
              <w:t xml:space="preserve">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8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9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A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C05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D05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5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поселения» муниципальной программы «Обеспечение качественными жилищно-коммунальными услугами </w:t>
            </w:r>
            <w:r>
              <w:t xml:space="preserve">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50000">
            <w:pPr>
              <w:ind/>
              <w:jc w:val="center"/>
            </w:pPr>
            <w:r>
              <w:t>72 2</w:t>
            </w:r>
            <w:r>
              <w:t xml:space="preserve">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5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805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B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C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E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1050000">
            <w:r>
              <w:t xml:space="preserve">Иные межбюджетные трансферты передаваемые  другим </w:t>
            </w:r>
            <w:r>
              <w:t xml:space="preserve">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3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5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6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7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8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A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C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D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3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5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6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7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8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9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A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C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</w:t>
            </w:r>
            <w:r>
              <w:t>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E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F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0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2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3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5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7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8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5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E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0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2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3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4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705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</w:t>
            </w:r>
            <w:r>
              <w:t xml:space="preserve">подпрограммы «Развитие муниципальной службы» муниципальной программы «Муниципальная политика»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9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B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C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D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005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2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3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4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5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14 143,1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50000">
            <w:pPr>
              <w:ind/>
              <w:jc w:val="center"/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905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B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D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E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</w:tcPr>
          <w:p w14:paraId="CF050000">
            <w:r>
              <w:t>14 143,1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0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205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</w:t>
            </w:r>
            <w:r>
              <w:t xml:space="preserve">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4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5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6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7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805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9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B05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F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0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405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6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7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8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9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A05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B05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5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D05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</w:t>
            </w:r>
            <w:r>
              <w:t xml:space="preserve">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F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0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105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205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305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405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5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605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805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9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F050000">
            <w:r>
              <w:t xml:space="preserve">Другие вопросы в области физической культуры и </w:t>
            </w:r>
            <w:r>
              <w:t>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0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1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2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3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4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5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6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08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9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A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B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C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D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E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F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1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2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3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4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5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6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A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B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C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D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E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F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0060000">
            <w:pPr>
              <w:ind/>
              <w:jc w:val="center"/>
            </w:pPr>
            <w: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1060000">
            <w:pPr>
              <w:ind/>
              <w:jc w:val="center"/>
            </w:pPr>
            <w: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60000">
            <w:pPr>
              <w:ind/>
              <w:jc w:val="center"/>
            </w:pPr>
            <w: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3060000">
            <w:r>
              <w:t xml:space="preserve">Расходы на выплаты по оплате труда работников </w:t>
            </w:r>
            <w:r>
              <w:t xml:space="preserve">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4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6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7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8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9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A06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6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C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D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F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0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1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2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3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5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6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7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8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9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A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B060000">
            <w:pPr>
              <w:ind/>
              <w:jc w:val="center"/>
            </w:pPr>
            <w:r>
              <w:t>28 387,7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C06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60000">
            <w:pPr>
              <w:ind/>
              <w:jc w:val="center"/>
            </w:pPr>
            <w:r>
              <w:t>28 917,5</w:t>
            </w:r>
          </w:p>
        </w:tc>
      </w:tr>
    </w:tbl>
    <w:p w14:paraId="3E060000">
      <w:pPr>
        <w:pStyle w:val="Style_7"/>
        <w:rPr>
          <w:rFonts w:ascii="Times New Roman" w:hAnsi="Times New Roman"/>
          <w:sz w:val="24"/>
        </w:rPr>
      </w:pPr>
    </w:p>
    <w:p w14:paraId="3F060000">
      <w:pPr>
        <w:pStyle w:val="Style_7"/>
        <w:rPr>
          <w:rFonts w:ascii="Times New Roman" w:hAnsi="Times New Roman"/>
          <w:sz w:val="24"/>
        </w:rPr>
      </w:pPr>
    </w:p>
    <w:p w14:paraId="40060000">
      <w:pPr>
        <w:pStyle w:val="Style_7"/>
        <w:rPr>
          <w:rFonts w:ascii="Times New Roman" w:hAnsi="Times New Roman"/>
          <w:sz w:val="24"/>
        </w:rPr>
      </w:pPr>
    </w:p>
    <w:p w14:paraId="41060000">
      <w:pPr>
        <w:pStyle w:val="Style_7"/>
        <w:rPr>
          <w:rFonts w:ascii="Times New Roman" w:hAnsi="Times New Roman"/>
          <w:sz w:val="24"/>
        </w:rPr>
      </w:pPr>
    </w:p>
    <w:p w14:paraId="42060000">
      <w:pPr>
        <w:pStyle w:val="Style_7"/>
        <w:rPr>
          <w:rFonts w:ascii="Times New Roman" w:hAnsi="Times New Roman"/>
          <w:sz w:val="24"/>
        </w:rPr>
      </w:pPr>
    </w:p>
    <w:p w14:paraId="43060000">
      <w:pPr>
        <w:pStyle w:val="Style_7"/>
        <w:rPr>
          <w:rFonts w:ascii="Times New Roman" w:hAnsi="Times New Roman"/>
          <w:sz w:val="24"/>
        </w:rPr>
      </w:pPr>
    </w:p>
    <w:p w14:paraId="44060000">
      <w:pPr>
        <w:pStyle w:val="Style_7"/>
        <w:rPr>
          <w:rFonts w:ascii="Times New Roman" w:hAnsi="Times New Roman"/>
          <w:sz w:val="24"/>
        </w:rPr>
      </w:pPr>
    </w:p>
    <w:p w14:paraId="45060000">
      <w:pPr>
        <w:pStyle w:val="Style_7"/>
        <w:rPr>
          <w:rFonts w:ascii="Times New Roman" w:hAnsi="Times New Roman"/>
          <w:sz w:val="24"/>
        </w:rPr>
      </w:pPr>
    </w:p>
    <w:p w14:paraId="46060000">
      <w:pPr>
        <w:pStyle w:val="Style_7"/>
        <w:rPr>
          <w:rFonts w:ascii="Times New Roman" w:hAnsi="Times New Roman"/>
          <w:sz w:val="24"/>
        </w:rPr>
      </w:pPr>
    </w:p>
    <w:p w14:paraId="47060000">
      <w:pPr>
        <w:pStyle w:val="Style_7"/>
        <w:rPr>
          <w:rFonts w:ascii="Times New Roman" w:hAnsi="Times New Roman"/>
          <w:sz w:val="24"/>
        </w:rPr>
      </w:pPr>
    </w:p>
    <w:p w14:paraId="48060000">
      <w:pPr>
        <w:pStyle w:val="Style_7"/>
        <w:rPr>
          <w:rFonts w:ascii="Times New Roman" w:hAnsi="Times New Roman"/>
          <w:sz w:val="24"/>
        </w:rPr>
      </w:pPr>
    </w:p>
    <w:p w14:paraId="49060000">
      <w:pPr>
        <w:pStyle w:val="Style_7"/>
        <w:rPr>
          <w:rFonts w:ascii="Times New Roman" w:hAnsi="Times New Roman"/>
          <w:sz w:val="24"/>
        </w:rPr>
      </w:pPr>
    </w:p>
    <w:p w14:paraId="4A060000">
      <w:pPr>
        <w:pStyle w:val="Style_7"/>
        <w:rPr>
          <w:rFonts w:ascii="Times New Roman" w:hAnsi="Times New Roman"/>
          <w:sz w:val="24"/>
        </w:rPr>
      </w:pPr>
    </w:p>
    <w:p w14:paraId="4B060000">
      <w:pPr>
        <w:pStyle w:val="Style_7"/>
        <w:rPr>
          <w:rFonts w:ascii="Times New Roman" w:hAnsi="Times New Roman"/>
          <w:sz w:val="24"/>
        </w:rPr>
      </w:pPr>
    </w:p>
    <w:p w14:paraId="4C060000">
      <w:pPr>
        <w:pStyle w:val="Style_7"/>
        <w:rPr>
          <w:rFonts w:ascii="Times New Roman" w:hAnsi="Times New Roman"/>
          <w:sz w:val="24"/>
        </w:rPr>
      </w:pPr>
    </w:p>
    <w:p w14:paraId="4D060000">
      <w:pPr>
        <w:pStyle w:val="Style_7"/>
        <w:rPr>
          <w:rFonts w:ascii="Times New Roman" w:hAnsi="Times New Roman"/>
          <w:sz w:val="24"/>
        </w:rPr>
      </w:pPr>
    </w:p>
    <w:p w14:paraId="4E060000">
      <w:pPr>
        <w:pStyle w:val="Style_7"/>
        <w:rPr>
          <w:rFonts w:ascii="Times New Roman" w:hAnsi="Times New Roman"/>
          <w:sz w:val="24"/>
        </w:rPr>
      </w:pPr>
    </w:p>
    <w:p w14:paraId="4F060000">
      <w:pPr>
        <w:pStyle w:val="Style_7"/>
        <w:rPr>
          <w:rFonts w:ascii="Times New Roman" w:hAnsi="Times New Roman"/>
          <w:sz w:val="24"/>
        </w:rPr>
      </w:pPr>
    </w:p>
    <w:p w14:paraId="50060000">
      <w:pPr>
        <w:pStyle w:val="Style_7"/>
        <w:rPr>
          <w:rFonts w:ascii="Times New Roman" w:hAnsi="Times New Roman"/>
          <w:sz w:val="24"/>
        </w:rPr>
      </w:pPr>
    </w:p>
    <w:p w14:paraId="51060000">
      <w:pPr>
        <w:pStyle w:val="Style_7"/>
        <w:rPr>
          <w:rFonts w:ascii="Times New Roman" w:hAnsi="Times New Roman"/>
          <w:sz w:val="24"/>
        </w:rPr>
      </w:pPr>
    </w:p>
    <w:p w14:paraId="52060000">
      <w:pPr>
        <w:pStyle w:val="Style_7"/>
        <w:rPr>
          <w:rFonts w:ascii="Times New Roman" w:hAnsi="Times New Roman"/>
          <w:sz w:val="24"/>
        </w:rPr>
      </w:pPr>
    </w:p>
    <w:p w14:paraId="53060000">
      <w:pPr>
        <w:pStyle w:val="Style_7"/>
        <w:rPr>
          <w:rFonts w:ascii="Times New Roman" w:hAnsi="Times New Roman"/>
          <w:sz w:val="24"/>
        </w:rPr>
      </w:pPr>
    </w:p>
    <w:p w14:paraId="54060000">
      <w:pPr>
        <w:pStyle w:val="Style_7"/>
        <w:rPr>
          <w:rFonts w:ascii="Times New Roman" w:hAnsi="Times New Roman"/>
          <w:sz w:val="24"/>
        </w:rPr>
      </w:pPr>
    </w:p>
    <w:p w14:paraId="55060000">
      <w:pPr>
        <w:pStyle w:val="Style_7"/>
        <w:rPr>
          <w:rFonts w:ascii="Times New Roman" w:hAnsi="Times New Roman"/>
          <w:sz w:val="24"/>
        </w:rPr>
      </w:pPr>
    </w:p>
    <w:p w14:paraId="56060000">
      <w:pPr>
        <w:pStyle w:val="Style_7"/>
        <w:rPr>
          <w:rFonts w:ascii="Times New Roman" w:hAnsi="Times New Roman"/>
          <w:sz w:val="24"/>
        </w:rPr>
      </w:pPr>
    </w:p>
    <w:p w14:paraId="57060000">
      <w:pPr>
        <w:pStyle w:val="Style_7"/>
        <w:rPr>
          <w:rFonts w:ascii="Times New Roman" w:hAnsi="Times New Roman"/>
          <w:sz w:val="24"/>
        </w:rPr>
      </w:pPr>
    </w:p>
    <w:p w14:paraId="58060000">
      <w:pPr>
        <w:pStyle w:val="Style_7"/>
        <w:rPr>
          <w:rFonts w:ascii="Times New Roman" w:hAnsi="Times New Roman"/>
          <w:sz w:val="24"/>
        </w:rPr>
      </w:pPr>
    </w:p>
    <w:p w14:paraId="59060000">
      <w:pPr>
        <w:pStyle w:val="Style_7"/>
        <w:rPr>
          <w:rFonts w:ascii="Times New Roman" w:hAnsi="Times New Roman"/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5C06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5D06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5E06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5F060000">
      <w:pPr>
        <w:pStyle w:val="Style_7"/>
        <w:rPr>
          <w:rFonts w:ascii="Times New Roman" w:hAnsi="Times New Roman"/>
          <w:sz w:val="24"/>
        </w:rPr>
      </w:pPr>
    </w:p>
    <w:p w14:paraId="6006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</w:t>
      </w:r>
      <w:r>
        <w:rPr>
          <w:rFonts w:ascii="Times New Roman" w:hAnsi="Times New Roman"/>
          <w:sz w:val="24"/>
        </w:rPr>
        <w:t xml:space="preserve"> 2024 год и на плановый период 2025 и 2026 годов </w:t>
      </w:r>
    </w:p>
    <w:p w14:paraId="6106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62060000">
      <w:pPr>
        <w:pStyle w:val="Style_7"/>
        <w:ind/>
        <w:jc w:val="right"/>
        <w:rPr>
          <w:rFonts w:ascii="Times New Roman" w:hAnsi="Times New Roman"/>
          <w:sz w:val="24"/>
        </w:rPr>
      </w:pPr>
    </w:p>
    <w:tbl>
      <w:tblPr>
        <w:tblStyle w:val="Style_4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</w:pPr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</w:pPr>
            <w:r>
              <w:t>2024 год</w:t>
            </w:r>
          </w:p>
          <w:p w14:paraId="69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60000">
            <w:pPr>
              <w:ind/>
              <w:jc w:val="center"/>
            </w:pPr>
            <w:r>
              <w:t>2025 год</w:t>
            </w:r>
          </w:p>
          <w:p w14:paraId="6B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</w:pPr>
            <w:r>
              <w:t>2026 год</w:t>
            </w:r>
          </w:p>
          <w:p w14:paraId="6D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</w:pPr>
            <w:r>
              <w:t>27 416,2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</w:pPr>
            <w:r>
              <w:t>27 981,6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</w:pPr>
            <w:r>
              <w:t>25 086,5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</w:pPr>
            <w:r>
              <w:rPr>
                <w:b w:val="1"/>
              </w:rPr>
              <w:t>5,0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E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6060000">
            <w:r>
              <w:t xml:space="preserve">Расходы на приведение </w:t>
            </w:r>
            <w:r>
              <w:t>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</w:t>
            </w:r>
            <w:r>
              <w:t xml:space="preserve">и населения" </w:t>
            </w:r>
            <w:r>
              <w:t xml:space="preserve">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2 648,9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1 786,8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1 188,6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</w:t>
            </w:r>
            <w:r>
              <w:t xml:space="preserve">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</w:t>
            </w:r>
            <w:r>
              <w:t>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  <w:r>
              <w:t>72 1 00</w:t>
            </w:r>
            <w:r>
              <w:t xml:space="preserve">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6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2 639,3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ind/>
              <w:jc w:val="center"/>
            </w:pPr>
            <w:r>
              <w:t>1 777,2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E06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146,8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129,2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606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(Иные закупки товаров, работ и услуг</w:t>
            </w:r>
            <w:r>
              <w:t xml:space="preserve">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171,0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100,0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6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</w:t>
            </w:r>
            <w:r>
              <w:t>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1 488,6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1 548,0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6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</w:t>
            </w:r>
            <w:r>
              <w:t xml:space="preserve">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E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606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</w:pPr>
            <w:r>
              <w:t>74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</w:t>
            </w:r>
            <w:r>
              <w:t xml:space="preserve">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6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</w:t>
            </w:r>
            <w:r>
              <w:t xml:space="preserve">и от чрезвычайных ситуаций, обеспечение пожарной безопасности и безопасности людей на водных </w:t>
            </w:r>
            <w:r>
              <w:t>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E06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6060000">
            <w:r>
              <w:t>Мероприятия  по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E060000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</w:t>
            </w:r>
            <w: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14 143,1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E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6070000">
            <w:r>
              <w:t xml:space="preserve">расходы бюджета сельского поселения на содержание и обеспечение деятельности (оказание услуг) </w:t>
            </w:r>
            <w:r>
              <w:t xml:space="preserve">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6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E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</w:t>
            </w:r>
            <w:r>
              <w:t xml:space="preserve">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E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6070000">
            <w:r>
              <w:t xml:space="preserve">Создание и развитие информационной и </w:t>
            </w:r>
            <w:r>
              <w:t>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  <w:r>
              <w:t>79</w:t>
            </w:r>
            <w:r>
              <w:t xml:space="preserve">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607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  <w:r>
              <w:t>81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E07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10 193,6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E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6070000">
            <w:r>
              <w:t xml:space="preserve">Развитие системы подготовки кадров для  муниципальной службы, дополнительного профессионального </w:t>
            </w:r>
            <w:r>
              <w:t xml:space="preserve">образования  муниципальных служащих в рамках подпрограммы «Развитие муниципальной службы»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E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</w:pPr>
            <w:r>
              <w:t>10 173,6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70000">
            <w:pPr>
              <w:ind/>
              <w:jc w:val="center"/>
            </w:pPr>
            <w: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  <w: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</w:t>
            </w:r>
            <w:r>
              <w:t>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</w:t>
            </w:r>
            <w:r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r>
              <w:t>Реализация направления расходов в рамках подпрограммы «Обеспечение реализации</w:t>
            </w:r>
            <w:r>
              <w:t xml:space="preserve">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7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</w:t>
            </w:r>
            <w:r>
              <w:t>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7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rPr>
                <w:sz w:val="28"/>
              </w:rPr>
            </w:pPr>
            <w:r>
              <w:t xml:space="preserve">Реализация программ формирования современной городской среды в рамках подпрограммы </w:t>
            </w:r>
            <w:r>
              <w:t xml:space="preserve">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</w:t>
            </w:r>
            <w:r>
              <w:t>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r>
              <w:t>22 1 00 55551</w:t>
            </w:r>
          </w:p>
          <w:p w14:paraId="D807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618,7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  <w:r>
              <w:t xml:space="preserve">99 1 </w:t>
            </w:r>
            <w:r>
              <w:t>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F07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</w:t>
            </w:r>
            <w:r>
              <w:t>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F07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непрограммных расходов </w:t>
            </w:r>
            <w:r>
              <w:t xml:space="preserve">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7080000">
            <w:pPr>
              <w:ind/>
              <w:jc w:val="both"/>
            </w:pPr>
            <w:r>
              <w:t xml:space="preserve">Расходы на обеспечение функций органа местного </w:t>
            </w:r>
            <w:r>
              <w:t xml:space="preserve">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F080000">
            <w:pPr>
              <w:ind/>
              <w:jc w:val="both"/>
            </w:pPr>
            <w:r>
              <w:t xml:space="preserve">Расходы 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  <w:r>
              <w:t>99 9 00 81070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80000">
            <w:pPr>
              <w:ind/>
              <w:jc w:val="center"/>
            </w:pPr>
            <w:r>
              <w:t>07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8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7080000">
            <w:r>
              <w:t xml:space="preserve">Оценка муниципального имущества, признание прав и регулирование </w:t>
            </w:r>
            <w:r>
              <w:t xml:space="preserve">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  <w:r>
              <w:t xml:space="preserve">99 </w:t>
            </w:r>
            <w:r>
              <w:t>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F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</w:t>
            </w:r>
            <w:r>
              <w:t xml:space="preserve">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708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F080000">
            <w:r>
              <w:t xml:space="preserve">Реализация направления расходов в рамках </w:t>
            </w:r>
            <w:r>
              <w:t xml:space="preserve">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7080000">
            <w:r>
              <w:t xml:space="preserve">Реализация направления расходов в </w:t>
            </w:r>
            <w:r>
              <w:t xml:space="preserve">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F080000">
            <w:r>
              <w:t xml:space="preserve">Оценка муниципального имущества, признание прав и регулирование </w:t>
            </w:r>
            <w:r>
              <w:t>отношений по</w:t>
            </w:r>
            <w:r>
              <w:t xml:space="preserve">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7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  <w:r>
              <w:t xml:space="preserve">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8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F08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8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8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7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423,0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F080000">
            <w:r>
              <w:t xml:space="preserve">Субвенция на осуществление полномочий по определению в </w:t>
            </w:r>
            <w:r>
              <w:t>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</w:t>
            </w:r>
            <w:r>
              <w:t>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80000">
            <w:r>
              <w:t>Субвенция на осуществление первичного воинского учета орга</w:t>
            </w:r>
            <w:r>
              <w:t>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</w:t>
            </w:r>
            <w:r>
              <w:t>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8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8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</w:pPr>
            <w:r>
              <w:t>28 387,7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8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</w:pPr>
            <w:r>
              <w:t>28 917,5</w:t>
            </w:r>
          </w:p>
        </w:tc>
      </w:tr>
    </w:tbl>
    <w:p w14:paraId="77080000">
      <w:pPr>
        <w:pStyle w:val="Style_7"/>
        <w:rPr>
          <w:rFonts w:ascii="Times New Roman" w:hAnsi="Times New Roman"/>
          <w:sz w:val="24"/>
        </w:rPr>
      </w:pPr>
    </w:p>
    <w:p w14:paraId="78080000">
      <w:pPr>
        <w:pStyle w:val="Style_7"/>
        <w:rPr>
          <w:rFonts w:ascii="Times New Roman" w:hAnsi="Times New Roman"/>
          <w:sz w:val="24"/>
        </w:rPr>
      </w:pPr>
    </w:p>
    <w:p w14:paraId="79080000">
      <w:pPr>
        <w:pStyle w:val="Style_7"/>
        <w:rPr>
          <w:rFonts w:ascii="Times New Roman" w:hAnsi="Times New Roman"/>
          <w:sz w:val="24"/>
        </w:rPr>
      </w:pPr>
    </w:p>
    <w:p w14:paraId="7A080000">
      <w:pPr>
        <w:widowControl w:val="0"/>
        <w:ind/>
        <w:jc w:val="right"/>
      </w:pPr>
    </w:p>
    <w:p w14:paraId="7B080000">
      <w:pPr>
        <w:widowControl w:val="0"/>
        <w:ind/>
        <w:jc w:val="right"/>
      </w:pPr>
    </w:p>
    <w:p w14:paraId="7C080000">
      <w:pPr>
        <w:widowControl w:val="0"/>
        <w:ind/>
        <w:jc w:val="right"/>
      </w:pPr>
    </w:p>
    <w:p w14:paraId="7D080000">
      <w:pPr>
        <w:widowControl w:val="0"/>
        <w:ind/>
        <w:jc w:val="right"/>
      </w:pPr>
    </w:p>
    <w:p w14:paraId="7E080000">
      <w:pPr>
        <w:widowControl w:val="0"/>
        <w:ind/>
        <w:jc w:val="right"/>
      </w:pPr>
    </w:p>
    <w:p w14:paraId="7F080000">
      <w:pPr>
        <w:widowControl w:val="0"/>
        <w:ind/>
        <w:jc w:val="right"/>
      </w:pPr>
    </w:p>
    <w:p w14:paraId="80080000">
      <w:pPr>
        <w:widowControl w:val="0"/>
        <w:ind/>
        <w:jc w:val="right"/>
      </w:pPr>
    </w:p>
    <w:p w14:paraId="81080000">
      <w:pPr>
        <w:widowControl w:val="0"/>
        <w:ind/>
        <w:jc w:val="right"/>
      </w:pPr>
    </w:p>
    <w:tbl>
      <w:tblPr>
        <w:tblStyle w:val="Style_4"/>
        <w:tblInd w:type="dxa" w:w="-34"/>
        <w:tblLayout w:type="fixed"/>
      </w:tblPr>
      <w:tblGrid>
        <w:gridCol w:w="4863"/>
        <w:gridCol w:w="4906"/>
      </w:tblGrid>
      <w:tr>
        <w:trPr>
          <w:trHeight w:hRule="atLeast" w:val="1082"/>
        </w:trPr>
        <w:tc>
          <w:tcPr>
            <w:tcW w:type="dxa" w:w="4863"/>
          </w:tcPr>
          <w:p w14:paraId="82080000">
            <w:pPr>
              <w:keepNext w:val="1"/>
              <w:keepLines w:val="1"/>
              <w:ind/>
              <w:jc w:val="right"/>
            </w:pPr>
          </w:p>
        </w:tc>
        <w:tc>
          <w:tcPr>
            <w:tcW w:type="dxa" w:w="4906"/>
          </w:tcPr>
          <w:p w14:paraId="83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7 </w:t>
            </w:r>
          </w:p>
          <w:p w14:paraId="84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85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86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87080000">
      <w:pPr>
        <w:ind/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</w:t>
      </w:r>
    </w:p>
    <w:p w14:paraId="88080000">
      <w:pPr>
        <w:pStyle w:val="Style_6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8"/>
        <w:gridCol w:w="1409"/>
        <w:gridCol w:w="1636"/>
        <w:gridCol w:w="1318"/>
      </w:tblGrid>
      <w:tr>
        <w:trPr>
          <w:trHeight w:hRule="atLeast" w:val="1036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80000">
            <w:pPr>
              <w:pStyle w:val="Style_6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A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14:paraId="8B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C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</w:p>
          <w:p w14:paraId="8D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14:paraId="8E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F08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2026 год</w:t>
            </w:r>
          </w:p>
          <w:p w14:paraId="90080000">
            <w:pPr>
              <w:pStyle w:val="Style_6"/>
              <w:spacing w:line="240" w:lineRule="exact"/>
              <w:ind w:right="-5"/>
              <w:jc w:val="center"/>
              <w:rPr>
                <w:b w:val="1"/>
                <w:spacing w:val="-4"/>
              </w:rPr>
            </w:pPr>
          </w:p>
        </w:tc>
      </w:tr>
      <w:tr>
        <w:trPr>
          <w:trHeight w:hRule="atLeast" w:val="369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2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3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80000">
            <w:pPr>
              <w:pStyle w:val="Style_6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6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7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80000">
            <w:pPr>
              <w:pStyle w:val="Style_6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A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121,5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B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121,5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121,5</w:t>
            </w:r>
          </w:p>
        </w:tc>
      </w:tr>
      <w:t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80000">
            <w:pPr>
              <w:pStyle w:val="Style_6"/>
              <w:spacing w:line="240" w:lineRule="exact"/>
              <w:ind w:right="-610"/>
              <w:rPr>
                <w:spacing w:val="-4"/>
              </w:rPr>
            </w:pPr>
          </w:p>
          <w:p w14:paraId="9E080000">
            <w:pPr>
              <w:pStyle w:val="Style_6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F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122,5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A0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122,5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122,5</w:t>
            </w:r>
          </w:p>
        </w:tc>
      </w:tr>
    </w:tbl>
    <w:p w14:paraId="A2080000">
      <w:pPr>
        <w:widowControl w:val="0"/>
        <w:ind/>
        <w:jc w:val="right"/>
      </w:pPr>
    </w:p>
    <w:p w14:paraId="A3080000">
      <w:pPr>
        <w:widowControl w:val="0"/>
        <w:ind/>
        <w:jc w:val="right"/>
      </w:pPr>
    </w:p>
    <w:p w14:paraId="A4080000">
      <w:pPr>
        <w:widowControl w:val="0"/>
        <w:ind/>
        <w:jc w:val="right"/>
      </w:pPr>
    </w:p>
    <w:p w14:paraId="A5080000">
      <w:pPr>
        <w:widowControl w:val="0"/>
        <w:ind/>
        <w:jc w:val="right"/>
      </w:pPr>
    </w:p>
    <w:p w14:paraId="A6080000">
      <w:pPr>
        <w:widowControl w:val="0"/>
        <w:ind/>
        <w:jc w:val="right"/>
      </w:pPr>
    </w:p>
    <w:p w14:paraId="A7080000">
      <w:pPr>
        <w:widowControl w:val="0"/>
        <w:ind/>
        <w:jc w:val="right"/>
      </w:pPr>
    </w:p>
    <w:p w14:paraId="A8080000">
      <w:pPr>
        <w:widowControl w:val="0"/>
        <w:ind/>
        <w:jc w:val="right"/>
      </w:pPr>
    </w:p>
    <w:p w14:paraId="A9080000">
      <w:pPr>
        <w:widowControl w:val="0"/>
        <w:ind/>
        <w:jc w:val="right"/>
      </w:pPr>
    </w:p>
    <w:p w14:paraId="AA080000">
      <w:pPr>
        <w:widowControl w:val="0"/>
        <w:ind/>
        <w:jc w:val="right"/>
      </w:pPr>
    </w:p>
    <w:p w14:paraId="AB080000">
      <w:pPr>
        <w:widowControl w:val="0"/>
        <w:ind/>
        <w:jc w:val="right"/>
      </w:pPr>
    </w:p>
    <w:p w14:paraId="AC080000">
      <w:pPr>
        <w:widowControl w:val="0"/>
        <w:ind/>
        <w:jc w:val="right"/>
      </w:pPr>
    </w:p>
    <w:p w14:paraId="AD080000">
      <w:pPr>
        <w:widowControl w:val="0"/>
        <w:ind/>
        <w:jc w:val="right"/>
      </w:pPr>
    </w:p>
    <w:tbl>
      <w:tblPr>
        <w:tblStyle w:val="Style_4"/>
        <w:tblInd w:type="dxa" w:w="108"/>
        <w:tblLayout w:type="fixed"/>
      </w:tblPr>
      <w:tblGrid>
        <w:gridCol w:w="9017"/>
        <w:gridCol w:w="5445"/>
      </w:tblGrid>
      <w:tr>
        <w:tc>
          <w:tcPr>
            <w:tcW w:type="dxa" w:w="9017"/>
          </w:tcPr>
          <w:p w14:paraId="AE08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AF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8 </w:t>
            </w:r>
          </w:p>
          <w:p w14:paraId="B0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1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B2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</w:p>
        </w:tc>
      </w:tr>
    </w:tbl>
    <w:p w14:paraId="B3080000">
      <w:pPr>
        <w:ind/>
        <w:jc w:val="center"/>
      </w:pPr>
      <w:r>
        <w:t>Распределение субвенций по доходам и видам расходов на 2024 год и плановый период 2025 и 2026 годов</w:t>
      </w:r>
    </w:p>
    <w:p w14:paraId="B4080000">
      <w:pPr>
        <w:ind/>
        <w:jc w:val="right"/>
      </w:pPr>
      <w:r>
        <w:t>(тыс. рублей)</w:t>
      </w:r>
    </w:p>
    <w:p w14:paraId="B5080000">
      <w:pPr>
        <w:ind/>
        <w:jc w:val="right"/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1"/>
        <w:gridCol w:w="7912"/>
        <w:gridCol w:w="1893"/>
        <w:gridCol w:w="1439"/>
        <w:gridCol w:w="946"/>
        <w:gridCol w:w="946"/>
        <w:gridCol w:w="814"/>
      </w:tblGrid>
      <w:tr>
        <w:trPr>
          <w:trHeight w:hRule="atLeast" w:val="283"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608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791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7080000">
            <w:pPr>
              <w:ind/>
              <w:jc w:val="center"/>
            </w:pPr>
            <w:r>
              <w:t xml:space="preserve">Наименование </w:t>
            </w:r>
            <w:r>
              <w:t>субвенций</w:t>
            </w:r>
          </w:p>
        </w:tc>
        <w:tc>
          <w:tcPr>
            <w:tcW w:type="dxa" w:w="189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8080000">
            <w:pPr>
              <w:ind/>
              <w:jc w:val="center"/>
            </w:pPr>
            <w:r>
              <w:t>Классификация  Доходов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908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A08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317"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91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B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C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D080000">
            <w:pPr>
              <w:ind/>
              <w:jc w:val="center"/>
            </w:pPr>
            <w:r>
              <w:t>2026</w:t>
            </w:r>
          </w:p>
          <w:p w14:paraId="BE08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196"/>
        </w:trPr>
        <w:tc>
          <w:tcPr>
            <w:tcW w:type="dxa" w:w="511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F080000">
            <w:pPr>
              <w:ind/>
              <w:jc w:val="center"/>
            </w:pPr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0080000">
            <w:pPr>
              <w:ind/>
              <w:jc w:val="center"/>
            </w:pPr>
            <w: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1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2080000">
            <w:pPr>
              <w:ind/>
              <w:jc w:val="center"/>
            </w:pPr>
            <w:r>
              <w:t>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3080000">
            <w:pPr>
              <w:ind/>
              <w:jc w:val="center"/>
            </w:pPr>
            <w:r>
              <w:t>5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4080000">
            <w:pPr>
              <w:ind/>
              <w:jc w:val="center"/>
            </w:pPr>
            <w:r>
              <w:t>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5080000">
            <w:pPr>
              <w:ind/>
              <w:jc w:val="center"/>
            </w:pPr>
            <w:r>
              <w:t>7</w:t>
            </w:r>
          </w:p>
        </w:tc>
      </w:tr>
      <w:tr>
        <w:trPr>
          <w:trHeight w:hRule="atLeast" w:val="312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6080000">
            <w:r>
              <w:t>Субвенции, всего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7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8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9080000">
            <w:pPr>
              <w:ind/>
              <w:jc w:val="center"/>
            </w:pPr>
            <w:r>
              <w:t>352,8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A080000">
            <w:pPr>
              <w:ind/>
              <w:jc w:val="center"/>
            </w:pPr>
            <w:r>
              <w:t>387,6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B080000">
            <w:pPr>
              <w:ind/>
              <w:jc w:val="center"/>
            </w:pPr>
            <w:r>
              <w:t>423,0</w:t>
            </w:r>
          </w:p>
        </w:tc>
      </w:tr>
      <w:tr>
        <w:trPr>
          <w:trHeight w:hRule="atLeast" w:val="70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C080000">
            <w:r>
              <w:t>Раздел 0100 «Общегосударственные вопросы»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D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E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F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0080000"/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1080000"/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D2080000"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D3080000">
            <w:r>
              <w:t xml:space="preserve">Субвенции бюджетам сельских поселений на осуществление </w:t>
            </w:r>
            <w:r>
              <w:t>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4080000">
            <w:pPr>
              <w:ind/>
              <w:jc w:val="center"/>
            </w:pPr>
            <w:r>
              <w:t xml:space="preserve">951 2 </w:t>
            </w:r>
            <w:r>
              <w:t>02 30024 10 0000 150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5080000">
            <w:pPr>
              <w:ind/>
              <w:jc w:val="center"/>
            </w:pPr>
            <w:r>
              <w:t>0104 89 9 00 72390 240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6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7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8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7"/>
        </w:trPr>
        <w:tc>
          <w:tcPr>
            <w:tcW w:type="dxa" w:w="14461"/>
            <w:gridSpan w:val="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D9080000">
            <w:r>
              <w:t>Раздел 0200 «Национальная оборона»</w:t>
            </w:r>
          </w:p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80000">
            <w:r>
              <w:t>2</w:t>
            </w:r>
          </w:p>
        </w:tc>
        <w:tc>
          <w:tcPr>
            <w:tcW w:type="dxa" w:w="79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80000">
            <w:pPr>
              <w:ind/>
              <w:jc w:val="both"/>
            </w:pPr>
            <w:r>
              <w:t xml:space="preserve">Субвенции бюджетам поселений на осуществление государственных полномочий по первичному воинскому учету органами местного самоуправления поселений, муниципальных </w:t>
            </w:r>
            <w:r>
              <w:t>и городских округов</w:t>
            </w:r>
          </w:p>
        </w:tc>
        <w:tc>
          <w:tcPr>
            <w:tcW w:type="dxa" w:w="18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DC080000">
            <w:pPr>
              <w:ind/>
              <w:jc w:val="center"/>
            </w:pPr>
            <w:r>
              <w:t>951 2 02 35118 10 0000 150</w:t>
            </w:r>
          </w:p>
        </w:tc>
        <w:tc>
          <w:tcPr>
            <w:tcW w:type="dxa" w:w="14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DD080000">
            <w:pPr>
              <w:ind/>
              <w:jc w:val="center"/>
            </w:pPr>
            <w:r>
              <w:t>0203 89 9 00 51180  120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8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8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80000">
            <w:pPr>
              <w:ind/>
              <w:jc w:val="center"/>
            </w:pPr>
            <w:r>
              <w:t>422,8</w:t>
            </w:r>
          </w:p>
        </w:tc>
      </w:tr>
    </w:tbl>
    <w:p w14:paraId="E1080000">
      <w:pPr>
        <w:widowControl w:val="0"/>
        <w:ind/>
        <w:jc w:val="right"/>
      </w:pPr>
    </w:p>
    <w:p w14:paraId="E2080000">
      <w:pPr>
        <w:sectPr>
          <w:footerReference r:id="rId5" w:type="default"/>
          <w:pgSz w:h="11906" w:orient="landscape" w:w="16838"/>
          <w:pgMar w:bottom="357" w:footer="709" w:gutter="0" w:header="709" w:left="1134" w:right="964" w:top="1644"/>
        </w:sectPr>
      </w:pPr>
    </w:p>
    <w:p w14:paraId="E3080000">
      <w:pPr>
        <w:ind/>
        <w:jc w:val="right"/>
      </w:pPr>
    </w:p>
    <w:p w14:paraId="E4080000">
      <w:pPr>
        <w:ind/>
        <w:jc w:val="right"/>
      </w:pPr>
    </w:p>
    <w:tbl>
      <w:tblPr>
        <w:tblStyle w:val="Style_4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E5080000">
            <w:pPr>
              <w:keepNext w:val="1"/>
              <w:keepLines w:val="1"/>
              <w:ind/>
            </w:pPr>
          </w:p>
          <w:p w14:paraId="E6080000">
            <w:pPr>
              <w:keepNext w:val="1"/>
              <w:keepLines w:val="1"/>
              <w:ind/>
            </w:pPr>
          </w:p>
        </w:tc>
        <w:tc>
          <w:tcPr>
            <w:tcW w:type="dxa" w:w="6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9 </w:t>
            </w:r>
          </w:p>
          <w:p w14:paraId="E8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E9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EA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</w:p>
        </w:tc>
      </w:tr>
    </w:tbl>
    <w:p w14:paraId="EB080000">
      <w:pPr>
        <w:pStyle w:val="Style_1"/>
        <w:ind/>
        <w:jc w:val="center"/>
      </w:pPr>
    </w:p>
    <w:tbl>
      <w:tblPr>
        <w:tblStyle w:val="Style_4"/>
        <w:tblInd w:type="dxa" w:w="108"/>
        <w:tblLayout w:type="fixed"/>
      </w:tblPr>
      <w:tblGrid>
        <w:gridCol w:w="1148"/>
        <w:gridCol w:w="8321"/>
        <w:gridCol w:w="1496"/>
        <w:gridCol w:w="1496"/>
        <w:gridCol w:w="2001"/>
      </w:tblGrid>
      <w:tr>
        <w:trPr>
          <w:trHeight w:hRule="atLeast" w:val="7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EC080000">
            <w:pPr>
              <w:ind/>
              <w:jc w:val="center"/>
            </w:pPr>
            <w:r>
              <w:t xml:space="preserve">Распределение </w:t>
            </w:r>
            <w:r>
              <w:t xml:space="preserve">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2024 год и плановый период 2025 и 2026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ED080000">
            <w:pPr>
              <w:pStyle w:val="Style_6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80000">
            <w:r>
              <w:t>N п\</w:t>
            </w:r>
            <w:r>
              <w:t>п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F08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0080000">
            <w:pPr>
              <w:ind/>
              <w:jc w:val="center"/>
            </w:pPr>
            <w:r>
              <w:t xml:space="preserve">2024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1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8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8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408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5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608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708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8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908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A08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B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C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E08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F08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0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109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3090000">
            <w: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9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90000">
            <w: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9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4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5090000">
            <w:pPr>
              <w:ind/>
              <w:jc w:val="center"/>
            </w:pPr>
            <w:r>
              <w:t>0</w:t>
            </w:r>
          </w:p>
        </w:tc>
      </w:tr>
    </w:tbl>
    <w:p w14:paraId="16090000"/>
    <w:p w14:paraId="17090000"/>
    <w:p w14:paraId="18090000"/>
    <w:p w14:paraId="19090000"/>
    <w:p w14:paraId="1A090000"/>
    <w:p w14:paraId="1B090000"/>
    <w:p w14:paraId="1C090000"/>
    <w:p w14:paraId="1D090000">
      <w:pPr>
        <w:tabs>
          <w:tab w:leader="none" w:pos="11115" w:val="left"/>
        </w:tabs>
        <w:ind/>
      </w:pPr>
      <w:r>
        <w:tab/>
      </w:r>
    </w:p>
    <w:p w14:paraId="1E090000">
      <w:pPr>
        <w:sectPr>
          <w:footerReference r:id="rId1" w:type="default"/>
          <w:pgSz w:h="11906" w:orient="landscape" w:w="16838"/>
          <w:pgMar w:bottom="851" w:footer="709" w:gutter="0" w:header="720" w:left="1134" w:right="1134" w:top="709"/>
        </w:sectPr>
      </w:pPr>
    </w:p>
    <w:p w14:paraId="1F090000">
      <w:pPr>
        <w:pStyle w:val="Style_6"/>
        <w:spacing w:after="0"/>
        <w:ind w:firstLine="709" w:left="0"/>
        <w:jc w:val="center"/>
        <w:rPr>
          <w:sz w:val="26"/>
        </w:rPr>
      </w:pPr>
    </w:p>
    <w:tbl>
      <w:tblPr>
        <w:tblStyle w:val="Style_4"/>
        <w:tblLayout w:type="fixed"/>
      </w:tblPr>
      <w:tblGrid>
        <w:gridCol w:w="4785"/>
        <w:gridCol w:w="4785"/>
      </w:tblGrid>
      <w:tr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90000">
            <w:pPr>
              <w:pStyle w:val="Style_6"/>
              <w:spacing w:after="0"/>
              <w:ind/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10</w:t>
            </w:r>
          </w:p>
          <w:p w14:paraId="2209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2309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24090000">
            <w:pPr>
              <w:pStyle w:val="Style_6"/>
              <w:spacing w:after="0"/>
              <w:ind/>
              <w:jc w:val="right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от 22.12.2023 года № 98</w:t>
            </w:r>
          </w:p>
        </w:tc>
      </w:tr>
    </w:tbl>
    <w:p w14:paraId="25090000">
      <w:pPr>
        <w:pStyle w:val="Style_6"/>
        <w:spacing w:after="0"/>
        <w:ind w:firstLine="709" w:left="0"/>
        <w:jc w:val="center"/>
        <w:rPr>
          <w:sz w:val="26"/>
        </w:rPr>
      </w:pPr>
    </w:p>
    <w:p w14:paraId="26090000">
      <w:pPr>
        <w:ind/>
        <w:jc w:val="center"/>
        <w:rPr>
          <w:sz w:val="28"/>
        </w:rPr>
      </w:pPr>
      <w:r>
        <w:rPr>
          <w:sz w:val="28"/>
        </w:rPr>
        <w:t>Программа муниципальных</w:t>
      </w:r>
      <w:r>
        <w:rPr>
          <w:sz w:val="28"/>
        </w:rPr>
        <w:t xml:space="preserve">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2025 и 2026 годов</w:t>
      </w:r>
    </w:p>
    <w:p w14:paraId="27090000">
      <w:pPr>
        <w:rPr>
          <w:b w:val="1"/>
        </w:rPr>
      </w:pPr>
    </w:p>
    <w:p w14:paraId="28090000">
      <w:pPr>
        <w:pStyle w:val="Style_8"/>
        <w:numPr>
          <w:ilvl w:val="0"/>
          <w:numId w:val="3"/>
        </w:numPr>
        <w:tabs>
          <w:tab w:leader="none" w:pos="720" w:val="left"/>
        </w:tabs>
        <w:spacing w:after="0" w:line="240" w:lineRule="auto"/>
        <w:ind w:firstLine="0" w:left="0"/>
      </w:pPr>
      <w:r>
        <w:rPr>
          <w:rFonts w:ascii="Times New Roman" w:hAnsi="Times New Roman"/>
          <w:sz w:val="28"/>
        </w:rPr>
        <w:t>Муниципальные внутренние заимствования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2024 год</w:t>
      </w:r>
      <w:r>
        <w:rPr>
          <w:rFonts w:ascii="Times New Roman" w:hAnsi="Times New Roman"/>
          <w:b w:val="1"/>
          <w:sz w:val="24"/>
        </w:rPr>
        <w:t xml:space="preserve">                          </w:t>
      </w:r>
    </w:p>
    <w:p w14:paraId="29090000">
      <w:pPr>
        <w:pStyle w:val="Style_8"/>
        <w:tabs>
          <w:tab w:leader="none" w:pos="720" w:val="left"/>
        </w:tabs>
        <w:spacing w:after="0" w:line="240" w:lineRule="auto"/>
        <w:ind w:firstLine="0" w:left="0"/>
        <w:jc w:val="right"/>
      </w:pPr>
      <w:r>
        <w:rPr>
          <w:rFonts w:ascii="Times New Roman" w:hAnsi="Times New Roman"/>
          <w:sz w:val="24"/>
        </w:rPr>
        <w:t xml:space="preserve">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5"/>
        <w:gridCol w:w="1098"/>
        <w:gridCol w:w="1944"/>
      </w:tblGrid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Вид заимствования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Предельные сроки</w:t>
            </w:r>
          </w:p>
          <w:p w14:paraId="2D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погашения</w:t>
            </w: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Кредиты, привлеченные от кредитных организаций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 год</w:t>
            </w:r>
          </w:p>
        </w:tc>
      </w:tr>
      <w:tr>
        <w:trPr>
          <w:trHeight w:hRule="atLeast" w:val="443"/>
        </w:trP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погашение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90000">
            <w:pPr>
              <w:spacing w:after="60" w:before="60" w:line="216" w:lineRule="auto"/>
              <w:ind w:firstLine="0" w:left="720"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Бюджетные кредиты, привлеченные в бюджет поселения из областного бюджета 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привлечение, из них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pPr>
              <w:rPr>
                <w:sz w:val="28"/>
              </w:rPr>
            </w:pPr>
            <w:r>
              <w:rPr>
                <w:sz w:val="28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90000">
            <w:pPr>
              <w:rPr>
                <w:sz w:val="28"/>
              </w:rPr>
            </w:pPr>
            <w:r>
              <w:rPr>
                <w:sz w:val="28"/>
              </w:rPr>
              <w:t xml:space="preserve">привлечение бюджетных кредитов на финансовое </w:t>
            </w:r>
            <w:r>
              <w:rPr>
                <w:sz w:val="28"/>
              </w:rPr>
              <w:t>обеспечение реализации инфраструктурных проектов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 менее</w:t>
            </w:r>
          </w:p>
          <w:p w14:paraId="43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лет</w:t>
            </w: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 них погашение бюджетных кредитов на пополнение остатка средств на едином счете бюджета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90000">
            <w:pPr>
              <w:rPr>
                <w:sz w:val="28"/>
              </w:rPr>
            </w:pPr>
            <w:r>
              <w:rPr>
                <w:sz w:val="28"/>
              </w:rPr>
              <w:t xml:space="preserve">погашение бюджетных кредитов на финансовое обеспечение реализации </w:t>
            </w:r>
            <w:r>
              <w:rPr>
                <w:sz w:val="28"/>
              </w:rPr>
              <w:t>инфраструктурных проектов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</w:tr>
    </w:tbl>
    <w:p w14:paraId="4D090000">
      <w:pPr>
        <w:pStyle w:val="Style_6"/>
        <w:spacing w:after="0"/>
        <w:ind w:firstLine="709" w:left="0"/>
        <w:jc w:val="center"/>
        <w:rPr>
          <w:sz w:val="26"/>
        </w:rPr>
      </w:pPr>
    </w:p>
    <w:p w14:paraId="4E090000">
      <w:pPr>
        <w:pStyle w:val="Style_6"/>
        <w:spacing w:after="0"/>
        <w:ind w:firstLine="709" w:left="0"/>
        <w:jc w:val="center"/>
        <w:rPr>
          <w:sz w:val="26"/>
        </w:rPr>
      </w:pPr>
    </w:p>
    <w:p w14:paraId="4F090000">
      <w:pPr>
        <w:pStyle w:val="Style_6"/>
        <w:spacing w:after="0"/>
        <w:ind w:firstLine="709" w:left="0"/>
        <w:jc w:val="center"/>
        <w:rPr>
          <w:sz w:val="26"/>
        </w:rPr>
      </w:pPr>
    </w:p>
    <w:p w14:paraId="50090000">
      <w:pPr>
        <w:pStyle w:val="Style_6"/>
        <w:spacing w:after="0"/>
        <w:ind w:firstLine="709" w:left="0"/>
        <w:jc w:val="center"/>
        <w:rPr>
          <w:sz w:val="26"/>
        </w:rPr>
      </w:pPr>
    </w:p>
    <w:p w14:paraId="51090000">
      <w:pPr>
        <w:pStyle w:val="Style_6"/>
        <w:spacing w:after="0"/>
        <w:ind w:firstLine="709" w:left="0"/>
        <w:jc w:val="center"/>
        <w:rPr>
          <w:sz w:val="26"/>
        </w:rPr>
      </w:pPr>
    </w:p>
    <w:p w14:paraId="52090000">
      <w:pPr>
        <w:pStyle w:val="Style_6"/>
        <w:spacing w:after="0"/>
        <w:ind w:firstLine="709" w:left="0"/>
        <w:jc w:val="center"/>
        <w:rPr>
          <w:sz w:val="26"/>
        </w:rPr>
      </w:pPr>
    </w:p>
    <w:p w14:paraId="53090000">
      <w:pPr>
        <w:pStyle w:val="Style_6"/>
        <w:spacing w:after="0"/>
        <w:ind w:firstLine="709" w:left="0"/>
        <w:jc w:val="center"/>
        <w:rPr>
          <w:sz w:val="26"/>
        </w:rPr>
      </w:pPr>
    </w:p>
    <w:p w14:paraId="54090000">
      <w:pPr>
        <w:pStyle w:val="Style_6"/>
        <w:spacing w:after="0"/>
        <w:ind w:firstLine="709" w:left="0"/>
        <w:jc w:val="center"/>
        <w:rPr>
          <w:sz w:val="26"/>
        </w:rPr>
      </w:pPr>
    </w:p>
    <w:p w14:paraId="55090000">
      <w:pPr>
        <w:pStyle w:val="Style_6"/>
        <w:spacing w:after="0"/>
        <w:ind w:firstLine="709" w:left="0"/>
        <w:jc w:val="center"/>
        <w:rPr>
          <w:sz w:val="26"/>
        </w:rPr>
      </w:pPr>
    </w:p>
    <w:p w14:paraId="56090000">
      <w:pPr>
        <w:pStyle w:val="Style_8"/>
        <w:numPr>
          <w:ilvl w:val="0"/>
          <w:numId w:val="3"/>
        </w:numPr>
        <w:tabs>
          <w:tab w:leader="none" w:pos="720" w:val="left"/>
        </w:tabs>
        <w:spacing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Муниципальные внутренние заимствования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2025 и 2026 годы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</w:t>
      </w:r>
    </w:p>
    <w:p w14:paraId="57090000">
      <w:pPr>
        <w:pStyle w:val="Style_8"/>
        <w:tabs>
          <w:tab w:leader="none" w:pos="0" w:val="left"/>
          <w:tab w:leader="none" w:pos="720" w:val="left"/>
        </w:tabs>
        <w:spacing w:line="240" w:lineRule="auto"/>
        <w:ind w:firstLine="0" w:left="0"/>
        <w:jc w:val="right"/>
      </w:pPr>
      <w:r>
        <w:rPr>
          <w:rFonts w:ascii="Times New Roman" w:hAnsi="Times New Roman"/>
          <w:sz w:val="24"/>
        </w:rPr>
        <w:t xml:space="preserve">      (тыс. рублей)</w:t>
      </w:r>
    </w:p>
    <w:tbl>
      <w:tblPr>
        <w:tblStyle w:val="Style_4"/>
        <w:tblInd w:type="dxa" w:w="392"/>
        <w:tblLayout w:type="fixed"/>
      </w:tblPr>
      <w:tblGrid>
        <w:gridCol w:w="3916"/>
        <w:gridCol w:w="1079"/>
        <w:gridCol w:w="1486"/>
        <w:gridCol w:w="1102"/>
        <w:gridCol w:w="1379"/>
      </w:tblGrid>
      <w:tr>
        <w:trPr>
          <w:trHeight w:hRule="atLeast" w:val="381"/>
        </w:trPr>
        <w:tc>
          <w:tcPr>
            <w:tcW w:type="dxa" w:w="3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Вид заимствования</w:t>
            </w:r>
          </w:p>
        </w:tc>
        <w:tc>
          <w:tcPr>
            <w:tcW w:type="dxa" w:w="2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24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  <w:tr>
        <w:trPr>
          <w:trHeight w:hRule="atLeast" w:val="140"/>
        </w:trPr>
        <w:tc>
          <w:tcPr>
            <w:tcW w:type="dxa" w:w="3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z w:val="28"/>
              </w:rPr>
              <w:t xml:space="preserve"> сроки</w:t>
            </w:r>
          </w:p>
          <w:p w14:paraId="5D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погашения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Предельные сроки</w:t>
            </w:r>
          </w:p>
          <w:p w14:paraId="60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погашения</w:t>
            </w:r>
          </w:p>
        </w:tc>
      </w:tr>
      <w:tr>
        <w:trPr>
          <w:trHeight w:hRule="atLeast" w:val="528"/>
        </w:trP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Кредиты, привлеченные от кредитных организаций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96"/>
        </w:trP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33"/>
        </w:trP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Бюджетные кредиты, привлеченные в бюджет поселения из областного бюджета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погашение, из них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90000">
            <w:pPr>
              <w:rPr>
                <w:sz w:val="28"/>
              </w:rPr>
            </w:pPr>
            <w:r>
              <w:rPr>
                <w:sz w:val="28"/>
              </w:rPr>
              <w:t>погашение бюджетных кредитов на финансовое обеспечение реализации инфраструктурных проектов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90000">
            <w:pPr>
              <w:rPr>
                <w:sz w:val="28"/>
              </w:rPr>
            </w:pPr>
            <w:r>
              <w:rPr>
                <w:sz w:val="28"/>
              </w:rPr>
              <w:t>погашение бюджетных кредитов из областного бюджета для погашения долговых обязательств муниципального образования</w:t>
            </w:r>
            <w:r>
              <w:rPr>
                <w:sz w:val="28"/>
              </w:rPr>
              <w:t xml:space="preserve"> по рыночным заимствованиям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</w:tbl>
    <w:p w14:paraId="89090000">
      <w:pPr>
        <w:pStyle w:val="Style_6"/>
        <w:spacing w:after="0"/>
        <w:ind w:firstLine="709" w:left="0"/>
        <w:jc w:val="center"/>
        <w:rPr>
          <w:sz w:val="26"/>
        </w:rPr>
      </w:pPr>
    </w:p>
    <w:p w14:paraId="8A090000">
      <w:pPr>
        <w:pStyle w:val="Style_6"/>
        <w:spacing w:after="0"/>
        <w:ind w:firstLine="709" w:left="0"/>
        <w:jc w:val="center"/>
        <w:rPr>
          <w:sz w:val="26"/>
        </w:rPr>
      </w:pPr>
    </w:p>
    <w:p w14:paraId="8B090000">
      <w:pPr>
        <w:pStyle w:val="Style_6"/>
        <w:spacing w:after="0"/>
        <w:ind w:firstLine="709" w:left="0"/>
        <w:jc w:val="center"/>
        <w:rPr>
          <w:sz w:val="26"/>
        </w:rPr>
      </w:pPr>
    </w:p>
    <w:p w14:paraId="8C090000">
      <w:pPr>
        <w:pStyle w:val="Style_6"/>
        <w:spacing w:after="0"/>
        <w:ind w:firstLine="709" w:left="0"/>
        <w:jc w:val="center"/>
        <w:rPr>
          <w:sz w:val="26"/>
        </w:rPr>
      </w:pPr>
    </w:p>
    <w:p w14:paraId="8D090000">
      <w:pPr>
        <w:pStyle w:val="Style_6"/>
        <w:spacing w:after="0"/>
        <w:ind w:firstLine="709" w:left="0"/>
        <w:jc w:val="center"/>
        <w:rPr>
          <w:sz w:val="26"/>
        </w:rPr>
      </w:pPr>
    </w:p>
    <w:p w14:paraId="8E090000">
      <w:pPr>
        <w:pStyle w:val="Style_6"/>
        <w:spacing w:after="0"/>
        <w:ind w:firstLine="709" w:left="0"/>
        <w:jc w:val="center"/>
        <w:rPr>
          <w:sz w:val="26"/>
        </w:rPr>
      </w:pPr>
    </w:p>
    <w:p w14:paraId="8F090000">
      <w:pPr>
        <w:pStyle w:val="Style_6"/>
        <w:spacing w:after="0"/>
        <w:ind w:firstLine="709" w:left="0"/>
        <w:jc w:val="center"/>
        <w:rPr>
          <w:sz w:val="26"/>
        </w:rPr>
      </w:pPr>
    </w:p>
    <w:p w14:paraId="90090000">
      <w:pPr>
        <w:pStyle w:val="Style_6"/>
        <w:spacing w:after="0"/>
        <w:ind w:firstLine="709" w:left="0"/>
        <w:jc w:val="center"/>
        <w:rPr>
          <w:sz w:val="26"/>
        </w:rPr>
      </w:pPr>
    </w:p>
    <w:p w14:paraId="91090000">
      <w:pPr>
        <w:pStyle w:val="Style_6"/>
        <w:spacing w:after="0"/>
        <w:ind w:firstLine="709" w:left="0"/>
        <w:jc w:val="center"/>
        <w:rPr>
          <w:sz w:val="26"/>
        </w:rPr>
      </w:pPr>
    </w:p>
    <w:p w14:paraId="92090000">
      <w:pPr>
        <w:pStyle w:val="Style_6"/>
        <w:spacing w:after="0"/>
        <w:ind w:firstLine="709" w:left="0"/>
        <w:jc w:val="center"/>
        <w:rPr>
          <w:sz w:val="26"/>
        </w:rPr>
      </w:pPr>
    </w:p>
    <w:p w14:paraId="93090000">
      <w:pPr>
        <w:pStyle w:val="Style_6"/>
        <w:spacing w:after="0"/>
        <w:ind w:firstLine="709" w:left="0"/>
        <w:jc w:val="center"/>
        <w:rPr>
          <w:sz w:val="26"/>
        </w:rPr>
      </w:pPr>
    </w:p>
    <w:p w14:paraId="94090000">
      <w:pPr>
        <w:pStyle w:val="Style_6"/>
        <w:spacing w:after="0"/>
        <w:ind w:firstLine="709" w:left="0"/>
        <w:jc w:val="center"/>
        <w:rPr>
          <w:sz w:val="26"/>
        </w:rPr>
      </w:pPr>
    </w:p>
    <w:p w14:paraId="95090000">
      <w:pPr>
        <w:pStyle w:val="Style_6"/>
        <w:spacing w:after="0"/>
        <w:ind w:firstLine="709" w:left="0"/>
        <w:jc w:val="center"/>
        <w:rPr>
          <w:sz w:val="26"/>
        </w:rPr>
      </w:pPr>
    </w:p>
    <w:p w14:paraId="96090000">
      <w:pPr>
        <w:pStyle w:val="Style_6"/>
        <w:spacing w:after="0"/>
        <w:ind w:firstLine="709" w:left="0"/>
        <w:jc w:val="center"/>
        <w:rPr>
          <w:sz w:val="26"/>
        </w:rPr>
      </w:pPr>
    </w:p>
    <w:p w14:paraId="97090000">
      <w:pPr>
        <w:pStyle w:val="Style_6"/>
        <w:spacing w:after="0"/>
        <w:ind w:firstLine="709" w:left="0"/>
        <w:jc w:val="center"/>
        <w:rPr>
          <w:sz w:val="26"/>
        </w:rPr>
      </w:pPr>
    </w:p>
    <w:tbl>
      <w:tblPr>
        <w:tblStyle w:val="Style_4"/>
        <w:tblInd w:type="dxa" w:w="108"/>
        <w:tblLayout w:type="fixed"/>
      </w:tblPr>
      <w:tblGrid>
        <w:gridCol w:w="3330"/>
        <w:gridCol w:w="5835"/>
      </w:tblGrid>
      <w:tr>
        <w:tc>
          <w:tcPr>
            <w:tcW w:type="dxa" w:w="3330"/>
          </w:tcPr>
          <w:p w14:paraId="98090000">
            <w:pPr>
              <w:keepNext w:val="1"/>
              <w:keepLines w:val="1"/>
              <w:ind/>
              <w:rPr>
                <w:b w:val="1"/>
                <w:sz w:val="28"/>
              </w:rPr>
            </w:pPr>
          </w:p>
        </w:tc>
        <w:tc>
          <w:tcPr>
            <w:tcW w:type="dxa" w:w="5835"/>
          </w:tcPr>
          <w:p w14:paraId="99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</w:p>
          <w:p w14:paraId="9A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 11</w:t>
            </w:r>
          </w:p>
          <w:p w14:paraId="9B09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 Собрания депутатов  </w:t>
            </w:r>
          </w:p>
          <w:p w14:paraId="9C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</w:p>
          <w:p w14:paraId="9D09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22.12.2023 года № 98 </w:t>
            </w:r>
          </w:p>
          <w:p w14:paraId="9E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9F090000">
      <w:pPr>
        <w:ind/>
        <w:jc w:val="center"/>
        <w:rPr>
          <w:sz w:val="28"/>
        </w:rPr>
      </w:pPr>
    </w:p>
    <w:p w14:paraId="A0090000">
      <w:pPr>
        <w:ind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</w:t>
      </w:r>
      <w:r>
        <w:rPr>
          <w:sz w:val="28"/>
        </w:rPr>
        <w:t>плановый период 2025 и 2026 годов</w:t>
      </w:r>
    </w:p>
    <w:p w14:paraId="A1090000">
      <w:pPr>
        <w:ind/>
        <w:jc w:val="both"/>
        <w:rPr>
          <w:sz w:val="28"/>
        </w:rPr>
      </w:pPr>
    </w:p>
    <w:p w14:paraId="A2090000">
      <w:pPr>
        <w:ind w:firstLine="0" w:left="360"/>
        <w:jc w:val="both"/>
        <w:rPr>
          <w:sz w:val="28"/>
        </w:rPr>
      </w:pPr>
    </w:p>
    <w:p w14:paraId="A3090000">
      <w:pPr>
        <w:ind w:firstLine="720" w:left="0"/>
        <w:jc w:val="center"/>
        <w:rPr>
          <w:sz w:val="28"/>
        </w:rPr>
      </w:pPr>
      <w:r>
        <w:rPr>
          <w:sz w:val="28"/>
        </w:rPr>
        <w:t xml:space="preserve">1.Программа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валюте Российской Федерации на 2024 год и на плановый период 2025 и 2026 годов</w:t>
      </w:r>
    </w:p>
    <w:p w14:paraId="A4090000">
      <w:pPr>
        <w:ind w:firstLine="0" w:left="720"/>
        <w:jc w:val="center"/>
        <w:rPr>
          <w:sz w:val="28"/>
        </w:rPr>
      </w:pPr>
    </w:p>
    <w:p w14:paraId="A5090000">
      <w:pPr>
        <w:numPr>
          <w:ilvl w:val="1"/>
          <w:numId w:val="4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в 2024 году и в плановом периоде 2025 и 2026 годов не планируется.</w:t>
      </w:r>
    </w:p>
    <w:p w14:paraId="A6090000">
      <w:pPr>
        <w:numPr>
          <w:ilvl w:val="1"/>
          <w:numId w:val="4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возможным гарантийным случаям, в 2024 г</w:t>
      </w:r>
      <w:r>
        <w:rPr>
          <w:sz w:val="28"/>
        </w:rPr>
        <w:t>оду и в плановом периоде 2025 и 2026 годов не планируется.</w:t>
      </w:r>
    </w:p>
    <w:p w14:paraId="A7090000">
      <w:pPr>
        <w:ind w:firstLine="0" w:left="2880"/>
        <w:jc w:val="both"/>
        <w:rPr>
          <w:sz w:val="28"/>
        </w:rPr>
      </w:pPr>
    </w:p>
    <w:p w14:paraId="A8090000">
      <w:pPr>
        <w:ind w:firstLine="0" w:left="720"/>
        <w:jc w:val="center"/>
        <w:rPr>
          <w:sz w:val="28"/>
        </w:rPr>
      </w:pPr>
      <w:r>
        <w:rPr>
          <w:sz w:val="28"/>
        </w:rPr>
        <w:t xml:space="preserve">2. 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иностранной валюте на 2024 год и на плановый период 2025 и 2026 годов</w:t>
      </w:r>
    </w:p>
    <w:p w14:paraId="A9090000">
      <w:pPr>
        <w:numPr>
          <w:ilvl w:val="1"/>
          <w:numId w:val="5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2024 году и в плановом периоде 2025 и 2026 годов не планируется.</w:t>
      </w:r>
    </w:p>
    <w:p w14:paraId="AA090000">
      <w:pPr>
        <w:numPr>
          <w:ilvl w:val="1"/>
          <w:numId w:val="5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возможным га</w:t>
      </w:r>
      <w:r>
        <w:rPr>
          <w:sz w:val="28"/>
        </w:rPr>
        <w:t>рантийным случаям, в 2024 году и в плановом периоде 2025 и 2026 годов не планируется.</w:t>
      </w:r>
    </w:p>
    <w:p w14:paraId="AB090000">
      <w:pPr>
        <w:pStyle w:val="Style_6"/>
        <w:spacing w:after="0"/>
        <w:ind w:firstLine="709" w:left="0"/>
        <w:jc w:val="center"/>
        <w:rPr>
          <w:sz w:val="26"/>
        </w:rPr>
      </w:pPr>
    </w:p>
    <w:p w14:paraId="AC090000">
      <w:pPr>
        <w:pStyle w:val="Style_6"/>
        <w:spacing w:after="0"/>
        <w:ind w:firstLine="709" w:left="0"/>
        <w:jc w:val="center"/>
        <w:rPr>
          <w:sz w:val="26"/>
        </w:rPr>
      </w:pPr>
    </w:p>
    <w:p w14:paraId="AD090000">
      <w:pPr>
        <w:pStyle w:val="Style_6"/>
        <w:spacing w:after="0"/>
        <w:ind w:firstLine="709" w:left="0"/>
        <w:jc w:val="center"/>
        <w:rPr>
          <w:sz w:val="26"/>
        </w:rPr>
      </w:pPr>
    </w:p>
    <w:p w14:paraId="AE090000">
      <w:pPr>
        <w:pStyle w:val="Style_6"/>
        <w:spacing w:after="0"/>
        <w:ind w:firstLine="709" w:left="0"/>
        <w:jc w:val="center"/>
        <w:rPr>
          <w:sz w:val="26"/>
        </w:rPr>
      </w:pPr>
    </w:p>
    <w:p w14:paraId="AF090000">
      <w:pPr>
        <w:pStyle w:val="Style_6"/>
        <w:spacing w:after="0" w:line="276" w:lineRule="auto"/>
        <w:ind/>
        <w:rPr>
          <w:sz w:val="28"/>
        </w:rPr>
      </w:pPr>
    </w:p>
    <w:p w14:paraId="B0090000">
      <w:pPr>
        <w:pStyle w:val="Style_6"/>
        <w:spacing w:after="0" w:line="276" w:lineRule="auto"/>
        <w:ind/>
        <w:rPr>
          <w:sz w:val="28"/>
        </w:rPr>
      </w:pPr>
    </w:p>
    <w:p w14:paraId="B1090000">
      <w:pPr>
        <w:pStyle w:val="Style_6"/>
        <w:spacing w:after="0" w:line="276" w:lineRule="auto"/>
        <w:ind/>
        <w:rPr>
          <w:sz w:val="28"/>
        </w:rPr>
      </w:pPr>
    </w:p>
    <w:p w14:paraId="B2090000">
      <w:pPr>
        <w:pStyle w:val="Style_6"/>
        <w:spacing w:after="0" w:line="276" w:lineRule="auto"/>
        <w:ind/>
        <w:rPr>
          <w:sz w:val="28"/>
        </w:rPr>
      </w:pPr>
    </w:p>
    <w:p w14:paraId="B3090000">
      <w:pPr>
        <w:pStyle w:val="Style_6"/>
        <w:spacing w:after="0" w:line="276" w:lineRule="auto"/>
        <w:ind/>
        <w:rPr>
          <w:sz w:val="28"/>
        </w:rPr>
      </w:pPr>
    </w:p>
    <w:p w14:paraId="B4090000">
      <w:pPr>
        <w:pStyle w:val="Style_6"/>
        <w:spacing w:after="0" w:line="276" w:lineRule="auto"/>
        <w:ind/>
        <w:rPr>
          <w:sz w:val="28"/>
        </w:rPr>
      </w:pPr>
    </w:p>
    <w:p w14:paraId="B5090000">
      <w:pPr>
        <w:pStyle w:val="Style_6"/>
        <w:spacing w:after="0"/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B6090000">
      <w:pPr>
        <w:ind/>
        <w:jc w:val="center"/>
        <w:rPr>
          <w:sz w:val="28"/>
        </w:rPr>
      </w:pPr>
      <w:r>
        <w:rPr>
          <w:sz w:val="28"/>
        </w:rPr>
        <w:t xml:space="preserve">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 №  98 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Куйбышевского района на 2024 год и на плановый период 2025 и 2026 годов»</w:t>
      </w:r>
    </w:p>
    <w:p w14:paraId="B7090000">
      <w:pPr>
        <w:pStyle w:val="Style_6"/>
        <w:spacing w:after="0"/>
        <w:ind w:hanging="4950" w:left="4950"/>
        <w:jc w:val="center"/>
        <w:rPr>
          <w:b w:val="1"/>
          <w:sz w:val="28"/>
        </w:rPr>
      </w:pPr>
    </w:p>
    <w:p w14:paraId="B8090000">
      <w:pPr>
        <w:pStyle w:val="Style_6"/>
        <w:spacing w:after="0"/>
        <w:ind w:hanging="4950" w:left="4950"/>
        <w:jc w:val="center"/>
        <w:rPr>
          <w:b w:val="1"/>
          <w:sz w:val="28"/>
        </w:rPr>
      </w:pPr>
      <w:r>
        <w:rPr>
          <w:b w:val="1"/>
          <w:sz w:val="28"/>
        </w:rPr>
        <w:t>I. Введение</w:t>
      </w:r>
    </w:p>
    <w:p w14:paraId="B9090000">
      <w:pPr>
        <w:ind w:firstLine="709" w:left="0"/>
        <w:jc w:val="both"/>
        <w:rPr>
          <w:sz w:val="28"/>
        </w:rPr>
      </w:pPr>
    </w:p>
    <w:p w14:paraId="BA09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плановый период  </w:t>
      </w:r>
      <w:r>
        <w:rPr>
          <w:sz w:val="28"/>
        </w:rPr>
        <w:t xml:space="preserve">2025 и 2026 годов» (далее – решение) подготовлено на основе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2024-2026 годы, утвержденного постановлением Администрации поселения от 28.09.2023 № 110, с учетом основных прио</w:t>
      </w:r>
      <w:r>
        <w:rPr>
          <w:sz w:val="28"/>
        </w:rPr>
        <w:t>ритетов, обозначенных Президентом и Правительством Российской Федерации, ключевых задач, поставленных Губернатором Ростовской области</w:t>
      </w:r>
      <w:r>
        <w:rPr>
          <w:sz w:val="28"/>
        </w:rPr>
        <w:t xml:space="preserve">, основными направлениями бюджетной, налоговой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плановый пер</w:t>
      </w:r>
      <w:r>
        <w:rPr>
          <w:sz w:val="28"/>
        </w:rPr>
        <w:t>иод 2025 и 2026 годов, утвержденного постановлением Администрации от 25.10.2023 № 120.</w:t>
      </w:r>
    </w:p>
    <w:p w14:paraId="BB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Подготовка решения осуществлена в соответствии с Областными законами от 10.05.2012 № 843-ЗС «О региональных налогах и некоторых вопросах налогообложения в Ростовской обл</w:t>
      </w:r>
      <w:r>
        <w:rPr>
          <w:sz w:val="28"/>
        </w:rPr>
        <w:t>асти» и от 26.12.2016 № 834-ЗС «О межбюджетных отношениях органов государственной власти и органов местного самоуправления в Ростовской области».</w:t>
      </w:r>
    </w:p>
    <w:p w14:paraId="BC090000">
      <w:pPr>
        <w:ind w:firstLine="709" w:left="0"/>
        <w:jc w:val="both"/>
        <w:rPr>
          <w:sz w:val="28"/>
        </w:rPr>
      </w:pPr>
      <w:r>
        <w:rPr>
          <w:sz w:val="28"/>
        </w:rPr>
        <w:t>Приоритеты бюджетной политики, на предстоящий трехлетний период, направлены на продолжение реализации социальн</w:t>
      </w:r>
      <w:r>
        <w:rPr>
          <w:sz w:val="28"/>
        </w:rPr>
        <w:t>о значимых программ для поддержки граждан и обеспечения социальной стабильности.</w:t>
      </w:r>
    </w:p>
    <w:p w14:paraId="BD090000">
      <w:pPr>
        <w:widowControl w:val="0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Реализация поставленных целей будет обеспечиваться с учетом мобилизации всех доходных источников, эффективного и рационального использования имеющихся как собственных ресурсов</w:t>
      </w:r>
      <w:r>
        <w:rPr>
          <w:sz w:val="28"/>
        </w:rPr>
        <w:t>, так и средств, предусмотренных в виде межбюджетных трансфертов из областного бюджета.</w:t>
      </w:r>
    </w:p>
    <w:p w14:paraId="BE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Параметры бюджета поселения на 2024 год и на плановый период 2025 и 2026 годов сформированы на основе второго (базового) варианта прогноза социально-экономического разв</w:t>
      </w:r>
      <w:r>
        <w:rPr>
          <w:sz w:val="28"/>
        </w:rPr>
        <w:t>ития Ростовской области на 2024 – 2026 годы.</w:t>
      </w:r>
    </w:p>
    <w:p w14:paraId="BF090000">
      <w:pPr>
        <w:widowControl w:val="0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Налоговая политика поселения в 2024- 2026 годы ориентирована на достижение необходимого объема бюджетных доходов, а также на увеличение доходного потенциала поселения на основе увеличения кадастровой стоимости п</w:t>
      </w:r>
      <w:r>
        <w:rPr>
          <w:sz w:val="28"/>
        </w:rPr>
        <w:t>о земельному налогу.</w:t>
      </w:r>
    </w:p>
    <w:p w14:paraId="C0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Общий уровень и структура расходов бюджета поселения определены исходя из приоритетного финансирования мероприятий, направленных на поддержку населения и достижение национальных целей развития, определенных указами Президента Российско</w:t>
      </w:r>
      <w:r>
        <w:rPr>
          <w:sz w:val="28"/>
        </w:rPr>
        <w:t>й Федерации от 07.05.2018 № 204 и от 21.07.2020 № 474.</w:t>
      </w:r>
    </w:p>
    <w:p w14:paraId="C1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Предусмотрены ассигнования на ежегодную индексацию расходов, в том числе увеличение заработной платы работников бюджетной сферы в рамках указов Президента Российской Федерации 2012 года и исходя из пов</w:t>
      </w:r>
      <w:r>
        <w:rPr>
          <w:sz w:val="28"/>
        </w:rPr>
        <w:t xml:space="preserve">ышения минимального </w:t>
      </w:r>
      <w:r>
        <w:rPr>
          <w:sz w:val="28"/>
        </w:rPr>
        <w:t>размера оплаты труда</w:t>
      </w:r>
      <w:r>
        <w:rPr>
          <w:sz w:val="28"/>
        </w:rPr>
        <w:t>.</w:t>
      </w:r>
    </w:p>
    <w:p w14:paraId="C2090000">
      <w:pPr>
        <w:ind w:firstLine="709" w:left="0"/>
        <w:jc w:val="both"/>
        <w:outlineLvl w:val="3"/>
        <w:rPr>
          <w:spacing w:val="-4"/>
          <w:sz w:val="28"/>
        </w:rPr>
      </w:pPr>
      <w:r>
        <w:rPr>
          <w:sz w:val="28"/>
        </w:rPr>
        <w:t xml:space="preserve">Подготовка бюджета поселения на 2024 – 2026 годы обеспечена в условиях действующего законодательства в соответствии </w:t>
      </w:r>
      <w:r>
        <w:rPr>
          <w:sz w:val="28"/>
        </w:rPr>
        <w:br/>
      </w:r>
      <w:r>
        <w:rPr>
          <w:sz w:val="28"/>
        </w:rPr>
        <w:t xml:space="preserve">с порядком и сроками, утвержденными постановлением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</w:t>
      </w:r>
      <w:r>
        <w:rPr>
          <w:sz w:val="28"/>
        </w:rPr>
        <w:t xml:space="preserve">ления от 29.05.2023 № 71 «Об утверждении Порядка и сроков составления </w:t>
      </w:r>
      <w:r>
        <w:rPr>
          <w:spacing w:val="-4"/>
          <w:sz w:val="28"/>
        </w:rPr>
        <w:t xml:space="preserve">проекта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  <w:r>
        <w:rPr>
          <w:spacing w:val="-4"/>
          <w:sz w:val="28"/>
        </w:rPr>
        <w:t>на 2024 год и на плановый период 2025 и 2026 годов».</w:t>
      </w:r>
    </w:p>
    <w:p w14:paraId="C3090000">
      <w:pPr>
        <w:ind w:firstLine="709" w:left="0"/>
        <w:jc w:val="both"/>
        <w:rPr>
          <w:sz w:val="28"/>
        </w:rPr>
      </w:pPr>
      <w:r>
        <w:rPr>
          <w:sz w:val="28"/>
        </w:rPr>
        <w:t>Параметры бюджета поселения на 2024 – 2026 годы сформирова</w:t>
      </w:r>
      <w:r>
        <w:rPr>
          <w:sz w:val="28"/>
        </w:rPr>
        <w:t xml:space="preserve">ны в условиях действующего законодательства и оценки ожидаемого исполнения доходов в 2023 году. </w:t>
      </w:r>
    </w:p>
    <w:p w14:paraId="C4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Подробное описание расходов бюджета поселения представлено в следующих разделах пояснительной записки.</w:t>
      </w:r>
    </w:p>
    <w:p w14:paraId="C5090000">
      <w:pPr>
        <w:widowControl w:val="0"/>
        <w:ind w:firstLine="709" w:left="0"/>
        <w:jc w:val="both"/>
        <w:rPr>
          <w:sz w:val="28"/>
        </w:rPr>
      </w:pPr>
    </w:p>
    <w:p w14:paraId="C6090000">
      <w:pPr>
        <w:tabs>
          <w:tab w:leader="none" w:pos="4408" w:val="left"/>
        </w:tabs>
        <w:ind/>
        <w:jc w:val="center"/>
        <w:outlineLvl w:val="3"/>
        <w:rPr>
          <w:b w:val="1"/>
          <w:sz w:val="28"/>
        </w:rPr>
      </w:pPr>
      <w:r>
        <w:rPr>
          <w:b w:val="1"/>
          <w:sz w:val="28"/>
        </w:rPr>
        <w:t xml:space="preserve">II. Основные характеристики бюджета поселения </w:t>
      </w:r>
    </w:p>
    <w:p w14:paraId="C7090000">
      <w:pPr>
        <w:ind/>
        <w:jc w:val="center"/>
        <w:outlineLvl w:val="3"/>
        <w:rPr>
          <w:b w:val="1"/>
          <w:sz w:val="28"/>
        </w:rPr>
      </w:pPr>
      <w:r>
        <w:rPr>
          <w:b w:val="1"/>
          <w:sz w:val="28"/>
        </w:rPr>
        <w:t xml:space="preserve">на 2024 </w:t>
      </w:r>
      <w:r>
        <w:rPr>
          <w:b w:val="1"/>
          <w:sz w:val="28"/>
        </w:rPr>
        <w:t>год и на плановый период 2025 и 2026 годов</w:t>
      </w:r>
    </w:p>
    <w:p w14:paraId="C8090000">
      <w:pPr>
        <w:pStyle w:val="Style_6"/>
        <w:ind w:firstLine="709" w:left="0"/>
        <w:jc w:val="both"/>
        <w:rPr>
          <w:sz w:val="28"/>
        </w:rPr>
      </w:pPr>
    </w:p>
    <w:p w14:paraId="C909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 xml:space="preserve">Основные характеристики бюджета поселения на 2024 год и плановый период 2025 и 2026 годов предлагаются в соответствии с нижеприведенной таблицей.   </w:t>
      </w:r>
    </w:p>
    <w:p w14:paraId="CA090000">
      <w:pPr>
        <w:pStyle w:val="Style_6"/>
        <w:ind w:firstLine="709"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70"/>
        <w:gridCol w:w="1842"/>
        <w:gridCol w:w="1985"/>
        <w:gridCol w:w="1701"/>
      </w:tblGrid>
      <w:tr>
        <w:trPr>
          <w:trHeight w:hRule="atLeast" w:val="306"/>
          <w:tblHeader/>
        </w:trP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90000">
            <w:pPr>
              <w:spacing w:line="360" w:lineRule="auto"/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type="dxa" w:w="55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Бюджет </w:t>
            </w:r>
          </w:p>
        </w:tc>
      </w:tr>
      <w:tr>
        <w:trPr>
          <w:trHeight w:hRule="atLeast" w:val="377"/>
          <w:tblHeader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9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90000">
            <w:pPr>
              <w:spacing w:line="360" w:lineRule="auto"/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9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 xml:space="preserve">I. Доходы, </w:t>
            </w:r>
            <w:r>
              <w:rPr>
                <w:sz w:val="28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28 387,7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29 668,6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28 917,5</w:t>
            </w:r>
          </w:p>
        </w:tc>
      </w:tr>
      <w:tr>
        <w:trPr>
          <w:trHeight w:hRule="atLeast" w:val="176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90000">
            <w:pPr>
              <w:ind w:firstLine="34" w:left="0"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90000">
            <w:pPr>
              <w:ind w:firstLine="108" w:left="-108"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90000">
            <w:pPr>
              <w:ind w:firstLine="34" w:left="0"/>
              <w:jc w:val="center"/>
              <w:rPr>
                <w:sz w:val="28"/>
              </w:rPr>
            </w:pPr>
          </w:p>
        </w:tc>
      </w:tr>
      <w:t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14 302,3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19 905,8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20 056,8</w:t>
            </w:r>
          </w:p>
        </w:tc>
      </w:tr>
      <w:tr>
        <w:trPr>
          <w:trHeight w:hRule="atLeast" w:val="99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90000">
            <w:pPr>
              <w:ind w:hanging="108" w:left="108"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90000">
            <w:pPr>
              <w:ind w:firstLine="108" w:left="-108"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90000">
            <w:pPr>
              <w:ind w:hanging="108" w:left="108"/>
              <w:jc w:val="center"/>
              <w:rPr>
                <w:sz w:val="28"/>
              </w:rPr>
            </w:pPr>
          </w:p>
        </w:tc>
      </w:tr>
      <w:tr>
        <w:tc>
          <w:tcPr>
            <w:tcW w:type="dxa" w:w="3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F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0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14 085,4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1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9 762,8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2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8 860,7</w:t>
            </w: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II. Расходы, 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28 387,7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29 668,6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28 917,5</w:t>
            </w:r>
          </w:p>
        </w:tc>
      </w:tr>
      <w:tr>
        <w:trPr>
          <w:trHeight w:hRule="atLeast" w:val="372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III. Дефицит</w:t>
            </w:r>
            <w:r>
              <w:rPr>
                <w:sz w:val="28"/>
              </w:rPr>
              <w:t xml:space="preserve"> (-), </w:t>
            </w:r>
            <w:r>
              <w:rPr>
                <w:sz w:val="28"/>
              </w:rPr>
              <w:t>профицит (+)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657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 xml:space="preserve"> % дефицита к объему собственных доходов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879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VI. Источники финансирования дефицита (профицита)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F3090000">
      <w:pPr>
        <w:pStyle w:val="Style_6"/>
        <w:ind w:firstLine="709" w:left="0"/>
        <w:jc w:val="both"/>
        <w:rPr>
          <w:sz w:val="28"/>
        </w:rPr>
      </w:pPr>
    </w:p>
    <w:p w14:paraId="F409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бюджета по доходам и расходам подтверждены расчетами, сформированными на основе методик, с учетом соблюдения ограничений по </w:t>
      </w:r>
      <w:r>
        <w:rPr>
          <w:sz w:val="28"/>
        </w:rPr>
        <w:t>муниципальному долгу и дефициту, установленных бюджетным законодательством.</w:t>
      </w:r>
    </w:p>
    <w:p w14:paraId="F5090000">
      <w:pPr>
        <w:ind w:firstLine="709" w:left="0"/>
        <w:jc w:val="both"/>
        <w:rPr>
          <w:sz w:val="28"/>
        </w:rPr>
      </w:pPr>
      <w:r>
        <w:rPr>
          <w:sz w:val="28"/>
        </w:rPr>
        <w:t>Доходы бюджета на 2024 год прогнозируются в объеме 28 387,7 тыс. рублей, на 2025 год – 29 668,6 тыс. рублей, на 2026 год – в сумме 28 917,5 тыс. рублей. Снижение доходных источнико</w:t>
      </w:r>
      <w:r>
        <w:rPr>
          <w:sz w:val="28"/>
        </w:rPr>
        <w:t>в в 2026 году объясняется особенностями планирования безвозмездных поступлений из областного бюджета.</w:t>
      </w:r>
    </w:p>
    <w:p w14:paraId="F6090000">
      <w:pPr>
        <w:ind w:firstLine="709" w:left="0"/>
        <w:jc w:val="both"/>
        <w:rPr>
          <w:sz w:val="28"/>
        </w:rPr>
      </w:pPr>
      <w:r>
        <w:rPr>
          <w:sz w:val="28"/>
        </w:rPr>
        <w:t>Собственные налоговые и неналоговые доходы бюджета поселения на 2024 год прогнозируются в объеме 14 302,3 тыс. рублей и на плановый период 2025 и 2026 год</w:t>
      </w:r>
      <w:r>
        <w:rPr>
          <w:sz w:val="28"/>
        </w:rPr>
        <w:t>ов 19 905,8 тыс. рублей и 20 056,8 тыс. рублей соответственно.</w:t>
      </w:r>
    </w:p>
    <w:p w14:paraId="F7090000">
      <w:pPr>
        <w:ind w:firstLine="709" w:left="0"/>
        <w:jc w:val="both"/>
        <w:rPr>
          <w:sz w:val="28"/>
        </w:rPr>
      </w:pPr>
      <w:r>
        <w:rPr>
          <w:sz w:val="28"/>
        </w:rPr>
        <w:t>Отсутствие темпа роста налоговых и неналоговых доходов бюджета поселения на 2024 год к первоначально утвержденному бюджету 2023 года (составит 97,2 процентов), по причине ежегодного снижения об</w:t>
      </w:r>
      <w:r>
        <w:rPr>
          <w:sz w:val="28"/>
        </w:rPr>
        <w:t xml:space="preserve">ъема поступления по единому сельскохозяйственному налогу. </w:t>
      </w:r>
    </w:p>
    <w:p w14:paraId="F8090000">
      <w:pPr>
        <w:ind w:firstLine="709" w:left="0"/>
        <w:jc w:val="both"/>
      </w:pPr>
      <w:r>
        <w:rPr>
          <w:sz w:val="28"/>
        </w:rPr>
        <w:t>Темп роста налоговых и неналоговых доходов бюджета поселения в 2025 и 2026 годах от предыдущего года 2024 года составит на 139,2 процента  и 100,8 процента соответственно.</w:t>
      </w:r>
    </w:p>
    <w:p w14:paraId="F9090000">
      <w:pPr>
        <w:pStyle w:val="Style_6"/>
        <w:spacing w:after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</w:t>
      </w:r>
      <w:r>
        <w:rPr>
          <w:sz w:val="28"/>
        </w:rPr>
        <w:t xml:space="preserve"> предлагаются в объемах, указанных в </w:t>
      </w:r>
      <w:r>
        <w:rPr>
          <w:color w:val="333333"/>
          <w:sz w:val="28"/>
          <w:highlight w:val="white"/>
        </w:rPr>
        <w:t>областном законе "</w:t>
      </w:r>
      <w:r>
        <w:rPr>
          <w:sz w:val="28"/>
        </w:rPr>
        <w:t>Об областном бюджете на 2024 год и на плановый период 2025 и 2026 годов</w:t>
      </w:r>
      <w:r>
        <w:rPr>
          <w:color w:val="333333"/>
          <w:sz w:val="28"/>
          <w:highlight w:val="white"/>
        </w:rPr>
        <w:t>"</w:t>
      </w:r>
      <w:r>
        <w:rPr>
          <w:sz w:val="28"/>
        </w:rPr>
        <w:t xml:space="preserve">. </w:t>
      </w:r>
    </w:p>
    <w:p w14:paraId="FA09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на 2024 год запланированы в объеме 28 387,7 тыс. рублей. В 2024 году рост расходов к первоначально утвержденно</w:t>
      </w:r>
      <w:r>
        <w:rPr>
          <w:sz w:val="28"/>
        </w:rPr>
        <w:t>му бюджету 2023 года на 105,1 процента или на 1 372,7 тыс. рублей.</w:t>
      </w:r>
    </w:p>
    <w:p w14:paraId="FB090000">
      <w:pPr>
        <w:ind w:firstLine="709" w:left="0"/>
        <w:jc w:val="both"/>
        <w:rPr>
          <w:sz w:val="28"/>
        </w:rPr>
      </w:pPr>
      <w:r>
        <w:rPr>
          <w:sz w:val="28"/>
        </w:rPr>
        <w:t>На плановый период в 2025 году объем расходов планируется в объеме 29 668,6 тыс. рублей, на 2026 год – в объеме 28 917,5 тыс. рублей.</w:t>
      </w:r>
    </w:p>
    <w:p w14:paraId="FC090000">
      <w:pPr>
        <w:ind w:firstLine="709" w:left="0"/>
        <w:jc w:val="both"/>
        <w:rPr>
          <w:sz w:val="28"/>
        </w:rPr>
      </w:pPr>
      <w:r>
        <w:rPr>
          <w:sz w:val="28"/>
        </w:rPr>
        <w:t>Резервом для будущих периодов будут являться условно ут</w:t>
      </w:r>
      <w:r>
        <w:rPr>
          <w:sz w:val="28"/>
        </w:rPr>
        <w:t xml:space="preserve">вержденные расходы в 2025 и 2026 годах, запланированные в объеме не менее 2,5 и </w:t>
      </w:r>
      <w:r>
        <w:rPr>
          <w:sz w:val="28"/>
        </w:rPr>
        <w:br/>
      </w:r>
      <w:r>
        <w:rPr>
          <w:sz w:val="28"/>
        </w:rPr>
        <w:t>5,0 процентов от нормативной величины соответственно по годам.</w:t>
      </w:r>
    </w:p>
    <w:p w14:paraId="FD090000">
      <w:pPr>
        <w:ind w:firstLine="709" w:left="0"/>
        <w:jc w:val="both"/>
        <w:rPr>
          <w:sz w:val="28"/>
        </w:rPr>
      </w:pPr>
      <w:r>
        <w:rPr>
          <w:sz w:val="28"/>
        </w:rPr>
        <w:t>На 2024 год и плановый период прогнозируется принятие сбалансированного бюджета.</w:t>
      </w:r>
    </w:p>
    <w:p w14:paraId="FE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целях обеспечения ликвидности</w:t>
      </w:r>
      <w:r>
        <w:rPr>
          <w:sz w:val="28"/>
        </w:rPr>
        <w:t xml:space="preserve"> будет продолжена практика по эффективному управлению остатками средств на едином счете бюджета поселения.</w:t>
      </w:r>
    </w:p>
    <w:p w14:paraId="FF090000">
      <w:pPr>
        <w:ind w:firstLine="709" w:left="0"/>
        <w:jc w:val="both"/>
        <w:rPr>
          <w:sz w:val="28"/>
        </w:rPr>
      </w:pPr>
      <w:r>
        <w:rPr>
          <w:sz w:val="28"/>
        </w:rPr>
        <w:t>Основные показатели бюджета поселения по доходам и расходам представлены в приложении 1 к настоящей пояснительной записке.</w:t>
      </w:r>
    </w:p>
    <w:p w14:paraId="000A0000">
      <w:pPr>
        <w:ind/>
        <w:jc w:val="center"/>
        <w:rPr>
          <w:b w:val="1"/>
          <w:sz w:val="28"/>
        </w:rPr>
      </w:pPr>
    </w:p>
    <w:p w14:paraId="01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III. Доходы бюджета поселения на 2024 год и </w:t>
      </w:r>
    </w:p>
    <w:p w14:paraId="02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плановый период 2025 и 2026 годов</w:t>
      </w:r>
    </w:p>
    <w:p w14:paraId="030A0000">
      <w:pPr>
        <w:ind/>
        <w:jc w:val="center"/>
        <w:rPr>
          <w:b w:val="1"/>
          <w:sz w:val="28"/>
        </w:rPr>
      </w:pPr>
    </w:p>
    <w:p w14:paraId="040A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Основу доходов бюджета составляют собственные налоговые и неналоговые доходы.</w:t>
      </w:r>
    </w:p>
    <w:p w14:paraId="050A0000">
      <w:pPr>
        <w:ind w:firstLine="709" w:left="0" w:right="-1"/>
        <w:jc w:val="both"/>
        <w:rPr>
          <w:sz w:val="28"/>
        </w:rPr>
      </w:pPr>
      <w:r>
        <w:rPr>
          <w:sz w:val="28"/>
        </w:rPr>
        <w:t>Учитывая законодательно, установленный механизм зачисления доходов, в бюджет поселения подлежат</w:t>
      </w:r>
      <w:r>
        <w:rPr>
          <w:sz w:val="28"/>
        </w:rPr>
        <w:t xml:space="preserve"> зачислению федеральные, областные налоги, по нормативам отчислений, установленным Бюджетным кодексом Российской Федерации, местные налоги. </w:t>
      </w:r>
    </w:p>
    <w:p w14:paraId="060A0000">
      <w:pPr>
        <w:ind w:firstLine="709" w:left="0" w:right="-1"/>
        <w:jc w:val="both"/>
        <w:rPr>
          <w:sz w:val="28"/>
        </w:rPr>
      </w:pPr>
      <w:r>
        <w:rPr>
          <w:sz w:val="28"/>
        </w:rPr>
        <w:t>В бюджет поселения поступают федеральные налоги (налог на доходы физических лиц), налоги, предусмотренные специальн</w:t>
      </w:r>
      <w:r>
        <w:rPr>
          <w:sz w:val="28"/>
        </w:rPr>
        <w:t>ыми налоговыми режимами (единый сельскохозяйственный налог) и местные налоги (налог на имущество физических лиц, земельный налог).</w:t>
      </w:r>
    </w:p>
    <w:p w14:paraId="070A0000">
      <w:pPr>
        <w:ind w:firstLine="709" w:left="0"/>
        <w:jc w:val="both"/>
        <w:rPr>
          <w:sz w:val="28"/>
        </w:rPr>
      </w:pPr>
      <w:r>
        <w:rPr>
          <w:sz w:val="28"/>
        </w:rPr>
        <w:t>В общем объеме налоговых и неналоговых доходов наибольший удельный вес занимают: земельный налог – 46,3 процента (6 614,7 тыс</w:t>
      </w:r>
      <w:r>
        <w:rPr>
          <w:sz w:val="28"/>
        </w:rPr>
        <w:t>. рублей); единый сельскохозяйственный налог – 24,3 процента (3 479,0 тыс. рублей); налог на доходы физических лиц – 23,3 процента (3 338,6 тыс. рублей); доходы от использования имущества – 2,8 процента (406,7 тыс. рублей).</w:t>
      </w:r>
    </w:p>
    <w:p w14:paraId="080A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Собственные налоговые и неналого</w:t>
      </w:r>
      <w:r>
        <w:rPr>
          <w:sz w:val="28"/>
        </w:rPr>
        <w:t xml:space="preserve">вые доходы бюджета поселения сформированы на основе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плановый период 2025 и 2026 годов, основных направлений бюджетной и налоговой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на 2024 год и на плановый период 2025 и 2026 годов, с учетом действующего бюджетного и налогового законодательства Российской Федерации и Ростовской области, а</w:t>
      </w:r>
      <w:r>
        <w:rPr>
          <w:sz w:val="28"/>
        </w:rPr>
        <w:t xml:space="preserve"> также изменений, вступающих в силу с 1 января 2023 года, на основе прогнозных</w:t>
      </w:r>
      <w:r>
        <w:rPr>
          <w:sz w:val="28"/>
        </w:rPr>
        <w:t xml:space="preserve"> данных, представленных главными администраторами доходов областного бюджета, рассчитанных в соответствии с Методиками прогнозирования поступлений.</w:t>
      </w:r>
    </w:p>
    <w:p w14:paraId="090A0000">
      <w:pPr>
        <w:tabs>
          <w:tab w:leader="none" w:pos="720" w:val="left"/>
        </w:tabs>
        <w:ind w:firstLine="709" w:left="0"/>
        <w:jc w:val="both"/>
      </w:pPr>
    </w:p>
    <w:p w14:paraId="0A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Особенности формирования и основные характеристики</w:t>
      </w:r>
    </w:p>
    <w:p w14:paraId="0B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налоговых и неналоговых доходов бюджета </w:t>
      </w:r>
    </w:p>
    <w:p w14:paraId="0C0A0000">
      <w:pPr>
        <w:ind w:firstLine="708" w:left="0"/>
        <w:jc w:val="center"/>
        <w:rPr>
          <w:b w:val="1"/>
          <w:sz w:val="28"/>
          <w:highlight w:val="yellow"/>
        </w:rPr>
      </w:pPr>
    </w:p>
    <w:p w14:paraId="0D0A0000">
      <w:pPr>
        <w:ind w:firstLine="709" w:left="0"/>
        <w:jc w:val="both"/>
        <w:rPr>
          <w:sz w:val="28"/>
        </w:rPr>
      </w:pPr>
      <w:r>
        <w:rPr>
          <w:sz w:val="28"/>
        </w:rPr>
        <w:t>Прогнозирован</w:t>
      </w:r>
      <w:r>
        <w:rPr>
          <w:sz w:val="28"/>
        </w:rPr>
        <w:t xml:space="preserve">ие налоговых и неналоговых доходов бюджета поселения осуществлялось в условиях реализуемого Правительством Ростовской области комплекса мер, способствующих ограничению влияния негативных факторов и обеспечения устойчивого социально-экономического развития </w:t>
      </w:r>
      <w:r>
        <w:rPr>
          <w:sz w:val="28"/>
        </w:rPr>
        <w:t xml:space="preserve">региона. </w:t>
      </w:r>
    </w:p>
    <w:p w14:paraId="0E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Собственные доходы бюджета поселения в 2024 году и плановом периоде 2025 и 2026 годов прогнозируются в объеме 14 302,3 тыс. рублей, </w:t>
      </w:r>
      <w:r>
        <w:rPr>
          <w:sz w:val="28"/>
        </w:rPr>
        <w:br/>
      </w:r>
      <w:r>
        <w:rPr>
          <w:sz w:val="28"/>
        </w:rPr>
        <w:t xml:space="preserve">19 905,8 тыс. рублей и 20 056,8 тыс. рублей соответственно. </w:t>
      </w:r>
      <w:r>
        <w:rPr>
          <w:sz w:val="28"/>
        </w:rPr>
        <w:t xml:space="preserve">По сравнению с </w:t>
      </w:r>
      <w:r>
        <w:rPr>
          <w:sz w:val="28"/>
        </w:rPr>
        <w:t>первоначальным планом 2023 года снижен</w:t>
      </w:r>
      <w:r>
        <w:rPr>
          <w:sz w:val="28"/>
        </w:rPr>
        <w:t>ие в 2024 году составит</w:t>
      </w:r>
      <w:r>
        <w:rPr>
          <w:sz w:val="28"/>
        </w:rPr>
        <w:br/>
      </w:r>
      <w:r>
        <w:rPr>
          <w:sz w:val="28"/>
        </w:rPr>
        <w:t>347,4 тыс. рублей или 2,3 процента (ежегодное снижение поступления по единому сельскохозяйственному налогу), в 2025 году рост по сравнению с 2024 годом составит 5 603,5 тыс. рублей или 39,2 процента и в 2026 году по сравнению с 2025</w:t>
      </w:r>
      <w:r>
        <w:rPr>
          <w:sz w:val="28"/>
        </w:rPr>
        <w:t xml:space="preserve"> годом – 151,0 тыс. рублей или 2,9 процента (увеличение кадастровой стоимости</w:t>
      </w:r>
      <w:r>
        <w:rPr>
          <w:sz w:val="28"/>
        </w:rPr>
        <w:t>).</w:t>
      </w:r>
    </w:p>
    <w:p w14:paraId="0F0A0000">
      <w:pPr>
        <w:ind w:firstLine="709" w:left="0"/>
        <w:jc w:val="both"/>
        <w:rPr>
          <w:sz w:val="28"/>
        </w:rPr>
      </w:pPr>
      <w:r>
        <w:rPr>
          <w:sz w:val="28"/>
        </w:rPr>
        <w:t>Прогноз налоговых и неналоговых поступлений на 2024 год и на плановый период 2025 и 2026 годов формировался с учетом:</w:t>
      </w:r>
    </w:p>
    <w:p w14:paraId="10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показателей прогноза социально-экономического развития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 на 2024-2026 годы, утвержденного постановлением Администрации поселения от 28.09.2023 № 110;</w:t>
      </w:r>
    </w:p>
    <w:p w14:paraId="110A0000">
      <w:pPr>
        <w:ind w:firstLine="709" w:left="0"/>
        <w:jc w:val="both"/>
        <w:rPr>
          <w:sz w:val="28"/>
        </w:rPr>
      </w:pPr>
      <w:r>
        <w:rPr>
          <w:sz w:val="28"/>
        </w:rPr>
        <w:t>- фактически сложившейся динамики поступлений по текущему году.</w:t>
      </w:r>
    </w:p>
    <w:p w14:paraId="120A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формировании параметров бюджета по доходам учтены мероприя</w:t>
      </w:r>
      <w:r>
        <w:rPr>
          <w:sz w:val="28"/>
        </w:rPr>
        <w:t xml:space="preserve">тия Плана по росту доходного потенциала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130A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формировании бюджета учтены прогнозные значения, представленные главными администраторами доходов - органами государственной власти Российской Федерации, основным из которых</w:t>
      </w:r>
      <w:r>
        <w:rPr>
          <w:sz w:val="28"/>
        </w:rPr>
        <w:t xml:space="preserve"> является Управление Федеральной налоговой службы по Ростовской области.</w:t>
      </w:r>
    </w:p>
    <w:p w14:paraId="14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Налог на доходы физических лиц</w:t>
      </w:r>
    </w:p>
    <w:p w14:paraId="150A0000">
      <w:pPr>
        <w:ind w:firstLine="708" w:left="0"/>
        <w:jc w:val="both"/>
        <w:rPr>
          <w:sz w:val="28"/>
        </w:rPr>
      </w:pPr>
    </w:p>
    <w:p w14:paraId="160A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Объем поступлений по налогу на доходы физических лиц на 2024 год прогнозируется в сумме 3 338,6 тыс. рублей, на 2025 год в сумме 3 449,9 тыс. рублей, </w:t>
      </w:r>
      <w:r>
        <w:rPr>
          <w:sz w:val="28"/>
        </w:rPr>
        <w:t>на 2026 год в сумме 3 583,5 тыс. рублей, согласно приложению 2 к пояснительной записке.</w:t>
      </w:r>
    </w:p>
    <w:p w14:paraId="170A0000">
      <w:pPr>
        <w:ind w:firstLine="709" w:left="0"/>
        <w:jc w:val="both"/>
      </w:pPr>
      <w:r>
        <w:rPr>
          <w:sz w:val="28"/>
        </w:rPr>
        <w:t>В 2024 году по сравнению с уточненным планом 2023 года объем поступлений увеличится на 756,9 тыс. рублей или на 29,3 процента, в 2025 году по сравнению с 2024 годом уве</w:t>
      </w:r>
      <w:r>
        <w:rPr>
          <w:sz w:val="28"/>
        </w:rPr>
        <w:t>личение на 111,3 тыс. рублей или на 3,3 процента, в 2026 году по сравнению с 2025 годом увеличение на 133,6 тыс. рублей или на 3,9 процента</w:t>
      </w:r>
      <w:r>
        <w:t>.</w:t>
      </w:r>
    </w:p>
    <w:p w14:paraId="180A0000">
      <w:pPr>
        <w:ind w:firstLine="708" w:left="0"/>
        <w:jc w:val="both"/>
        <w:rPr>
          <w:sz w:val="28"/>
        </w:rPr>
      </w:pPr>
      <w:r>
        <w:rPr>
          <w:sz w:val="28"/>
        </w:rPr>
        <w:t>Оценка налогового потенциала по налогу на доходы физических лиц производится с применением средней репрезентативной</w:t>
      </w:r>
      <w:r>
        <w:rPr>
          <w:sz w:val="28"/>
        </w:rPr>
        <w:t xml:space="preserve"> налоговой ставки. </w:t>
      </w:r>
      <w:r>
        <w:rPr>
          <w:sz w:val="28"/>
        </w:rPr>
        <w:t>В основу расчета поступления налога на доходы физических лиц принят  прогноз суммы доходов для определения налогового потенциала по налогу на доходы физических лиц по данным прогноза социально-экономического развития Куйбышевского района</w:t>
      </w:r>
      <w:r>
        <w:rPr>
          <w:sz w:val="28"/>
        </w:rPr>
        <w:t xml:space="preserve"> на 2024 год в сумме 428 031,7 тыс. рублей, на 2025 год 442 301,4 тыс. рублей, на 2026 год 459 426,4 тыс. рублей.</w:t>
      </w:r>
    </w:p>
    <w:p w14:paraId="19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расчете поступления налога на доходы физических лиц приняты  прогнозируемые на 2024 – 2026 годы объемы налоговых баз (доходов, полученных </w:t>
      </w:r>
      <w:r>
        <w:rPr>
          <w:sz w:val="28"/>
        </w:rPr>
        <w:t xml:space="preserve">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доходов установлена единая ставка 13 процентов (в части суммы налога, не превышающей 650 000 </w:t>
      </w:r>
      <w:r>
        <w:rPr>
          <w:sz w:val="28"/>
        </w:rPr>
        <w:t>рублей</w:t>
      </w:r>
      <w:r>
        <w:rPr>
          <w:sz w:val="28"/>
        </w:rPr>
        <w:t>) и норматив отчислений в бюджет поселения, установленные Бюджетным кодексом Российской Федерации</w:t>
      </w:r>
      <w:r>
        <w:rPr>
          <w:sz w:val="28"/>
        </w:rPr>
        <w:t xml:space="preserve"> (с учетом регулирования межбюджетных отношений Областным законом от 26.12.2016 № 834-ЗС «О межбюджетных отношениях органов государственной власти и органов ме</w:t>
      </w:r>
      <w:r>
        <w:rPr>
          <w:sz w:val="28"/>
        </w:rPr>
        <w:t>стного самоуправления в Ростовской области») в размере 6 процентов и коэффициент 1,0000, учитывающий изменение законодательства о налогах и сборах и бюджетного законодательства.</w:t>
      </w:r>
    </w:p>
    <w:p w14:paraId="1A0A0000">
      <w:pPr>
        <w:ind w:firstLine="720" w:left="0"/>
        <w:jc w:val="both"/>
        <w:rPr>
          <w:sz w:val="28"/>
        </w:rPr>
      </w:pPr>
      <w:r>
        <w:rPr>
          <w:sz w:val="28"/>
        </w:rPr>
        <w:t>Прогноз доходов, подлежащих налогообложению, разработан отделом экономического</w:t>
      </w:r>
      <w:r>
        <w:rPr>
          <w:sz w:val="28"/>
        </w:rPr>
        <w:t xml:space="preserve"> развития, торговли и бытового обслуживания Куйбышевского района и учитывает:</w:t>
      </w:r>
    </w:p>
    <w:p w14:paraId="1B0A0000">
      <w:pPr>
        <w:ind w:firstLine="720" w:left="0"/>
        <w:jc w:val="both"/>
        <w:rPr>
          <w:sz w:val="28"/>
        </w:rPr>
      </w:pPr>
      <w:r>
        <w:rPr>
          <w:sz w:val="28"/>
        </w:rPr>
        <w:t>- повышение минимальных государственных гарантий по оплате труда;</w:t>
      </w:r>
    </w:p>
    <w:p w14:paraId="1C0A0000">
      <w:pPr>
        <w:ind w:firstLine="720" w:left="0"/>
        <w:jc w:val="both"/>
        <w:rPr>
          <w:sz w:val="28"/>
        </w:rPr>
      </w:pPr>
      <w:r>
        <w:rPr>
          <w:sz w:val="28"/>
        </w:rPr>
        <w:t>- дальнейшее развитие предприятий поселения, наращивание ими объемов производства и проведение индексации уровня</w:t>
      </w:r>
      <w:r>
        <w:rPr>
          <w:sz w:val="28"/>
        </w:rPr>
        <w:t xml:space="preserve"> оплаты труда.</w:t>
      </w:r>
    </w:p>
    <w:p w14:paraId="1D0A0000">
      <w:pPr>
        <w:ind/>
        <w:jc w:val="center"/>
        <w:rPr>
          <w:b w:val="1"/>
          <w:i w:val="1"/>
          <w:sz w:val="28"/>
        </w:rPr>
      </w:pPr>
    </w:p>
    <w:p w14:paraId="1E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Единый сельскохозяйственный налог</w:t>
      </w:r>
    </w:p>
    <w:p w14:paraId="1F0A0000">
      <w:pPr>
        <w:spacing w:line="317" w:lineRule="exact"/>
        <w:ind w:firstLine="701" w:left="0" w:right="10"/>
        <w:jc w:val="both"/>
        <w:rPr>
          <w:spacing w:val="-1"/>
          <w:sz w:val="28"/>
        </w:rPr>
      </w:pPr>
    </w:p>
    <w:p w14:paraId="200A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Оценка налогового потенциала по единому сельскохозяйственному налогу  на 2024 год произведена с применением средней репрезентативной налоговой ставки, исходя из прогнозируемой налоговой базы по данным МРИ </w:t>
      </w:r>
      <w:r>
        <w:rPr>
          <w:sz w:val="28"/>
        </w:rPr>
        <w:t>ФНС РФ №18 по РО форма 5-ЕСХН «Отчет о налоговой базе и структуре начислений по единому сельскохозяйственному налогу» за 2022 год и фактически сложившейся по налоговой отчетности за три последних отчетных года, средней репрезентативной налоговой</w:t>
      </w:r>
      <w:r>
        <w:rPr>
          <w:sz w:val="28"/>
        </w:rPr>
        <w:t xml:space="preserve"> ставки, ра</w:t>
      </w:r>
      <w:r>
        <w:rPr>
          <w:sz w:val="28"/>
        </w:rPr>
        <w:t>вной 6,62 процентов и коэффициента, учитывающего изменения  законодательства Российской Федерации о налогах и сборах, законодательства Ростовской области о налогах и сборах и бюджетного законодательства Российской Федерации 1,0000.</w:t>
      </w:r>
    </w:p>
    <w:p w14:paraId="210A0000">
      <w:pPr>
        <w:ind w:firstLine="720" w:left="0"/>
        <w:jc w:val="both"/>
        <w:rPr>
          <w:sz w:val="28"/>
        </w:rPr>
      </w:pPr>
      <w:r>
        <w:rPr>
          <w:sz w:val="28"/>
        </w:rPr>
        <w:t>При расчете налогового п</w:t>
      </w:r>
      <w:r>
        <w:rPr>
          <w:sz w:val="28"/>
        </w:rPr>
        <w:t>отенциала учитывалось ежегодное снижение поступления прошлых лет и фактическое поступление 2023 года.</w:t>
      </w:r>
    </w:p>
    <w:p w14:paraId="220A0000">
      <w:pPr>
        <w:ind w:firstLine="720" w:left="0"/>
        <w:jc w:val="both"/>
        <w:rPr>
          <w:sz w:val="28"/>
        </w:rPr>
      </w:pPr>
      <w:r>
        <w:rPr>
          <w:sz w:val="28"/>
        </w:rPr>
        <w:t>В связи с установлением в соответствии со статьей 58 Бюджетного кодекса Российской Федерации с 01.01.2008 года единых нормативов отчислений в местные бюдж</w:t>
      </w:r>
      <w:r>
        <w:rPr>
          <w:sz w:val="28"/>
        </w:rPr>
        <w:t xml:space="preserve">еты по налогу в размере 40,0 процентов. </w:t>
      </w:r>
      <w:r>
        <w:rPr>
          <w:sz w:val="28"/>
        </w:rPr>
        <w:t xml:space="preserve">Поступления по единому сельскохозяйственному налогу в бюджет поселения на 2024 год прогнозируется в сумме 3 479,0 тыс. рублей, что ниже на 34,6  процента или 1 844,4 тыс. рублей показателей бюджета 2023 года, в 2025 </w:t>
      </w:r>
      <w:r>
        <w:rPr>
          <w:sz w:val="28"/>
        </w:rPr>
        <w:t>-2026 годы прогнозируется на уровне 2024 года в сумме 3 479,0 тыс. рублей, согласно приложению 3 к пояснительной записке.</w:t>
      </w:r>
    </w:p>
    <w:p w14:paraId="230A0000">
      <w:pPr>
        <w:ind/>
        <w:jc w:val="center"/>
        <w:rPr>
          <w:b w:val="1"/>
          <w:i w:val="1"/>
          <w:sz w:val="28"/>
        </w:rPr>
      </w:pPr>
    </w:p>
    <w:p w14:paraId="24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Налог на имущество физических лиц</w:t>
      </w:r>
    </w:p>
    <w:p w14:paraId="250A0000">
      <w:pPr>
        <w:ind w:firstLine="900" w:left="0"/>
        <w:jc w:val="both"/>
        <w:rPr>
          <w:sz w:val="28"/>
        </w:rPr>
      </w:pPr>
    </w:p>
    <w:p w14:paraId="260A0000">
      <w:pPr>
        <w:ind w:firstLine="709" w:left="0"/>
        <w:jc w:val="both"/>
        <w:rPr>
          <w:sz w:val="28"/>
        </w:rPr>
      </w:pPr>
      <w:r>
        <w:rPr>
          <w:sz w:val="28"/>
        </w:rPr>
        <w:t>Оценка налогового потенциала по налогу на имущество физических лиц произведена методом прямого сче</w:t>
      </w:r>
      <w:r>
        <w:rPr>
          <w:sz w:val="28"/>
        </w:rPr>
        <w:t xml:space="preserve">та, исходя из кадастровой  стоимости объектов налогообложения жилых домов, части жилых домов, квартир, частей квартир, строений, помещений и сооружений, принадлежащих </w:t>
      </w:r>
      <w:r>
        <w:rPr>
          <w:sz w:val="28"/>
        </w:rPr>
        <w:t>гражданам на праве собственности – в соответствии с главой 32 Налогового кодекса Российск</w:t>
      </w:r>
      <w:r>
        <w:rPr>
          <w:sz w:val="28"/>
        </w:rPr>
        <w:t>ой Федерации на основе формы 5-МН «Отчет по налоговой базе и структуре начислений по местным налогам», по</w:t>
      </w:r>
      <w:r>
        <w:rPr>
          <w:sz w:val="28"/>
        </w:rPr>
        <w:t xml:space="preserve"> данным программного обеспечения «Анализ имущественных налогов» АИС «Налог-3», Постановления Правительства Ростовской области № 881 от 27.12.2016 г. «О</w:t>
      </w:r>
      <w:r>
        <w:rPr>
          <w:sz w:val="28"/>
        </w:rPr>
        <w:t>б утверждении результатов определения кадастровой стоимости объектов недвижимости, расположенных на территории Ростовской области»;</w:t>
      </w:r>
    </w:p>
    <w:p w14:paraId="27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-ставки налога на имущество в соответствии с пунктом 2 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3</w:t>
      </w:r>
      <w:r>
        <w:rPr>
          <w:sz w:val="28"/>
        </w:rPr>
        <w:t>0.10.2017№ 82 «О налоге на имущество физических лиц»;</w:t>
      </w:r>
    </w:p>
    <w:p w14:paraId="280A0000">
      <w:pPr>
        <w:ind w:firstLine="720" w:left="0"/>
        <w:jc w:val="both"/>
        <w:rPr>
          <w:sz w:val="28"/>
        </w:rPr>
      </w:pPr>
      <w:r>
        <w:rPr>
          <w:sz w:val="28"/>
        </w:rPr>
        <w:t>Поступления по налогу на имущество физических лиц бюджета поселения на 2024 год и плановый период 2025-2026 годы  прогнозируется в сумме 408,7 тыс. рублей ежегодно, согласно приложению 4 к пояснительной</w:t>
      </w:r>
      <w:r>
        <w:rPr>
          <w:sz w:val="28"/>
        </w:rPr>
        <w:t xml:space="preserve"> записке.</w:t>
      </w:r>
    </w:p>
    <w:p w14:paraId="290A0000">
      <w:pPr>
        <w:ind w:firstLine="720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Земельный налог </w:t>
      </w:r>
    </w:p>
    <w:p w14:paraId="2A0A0000">
      <w:pPr>
        <w:ind w:firstLine="720" w:left="0"/>
        <w:jc w:val="center"/>
        <w:rPr>
          <w:sz w:val="28"/>
          <w:u w:val="single"/>
        </w:rPr>
      </w:pPr>
    </w:p>
    <w:p w14:paraId="2B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Оценка налогового потенциала по земельному налогу произведена методом прямого счета на основании информации: </w:t>
      </w:r>
    </w:p>
    <w:p w14:paraId="2C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-о площадях и кадастровой стоимости земельных участков, признаваемых объектами налогообложения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Ростовской области и сводных показателей для оценки прогноза поступления земельного нало</w:t>
      </w:r>
      <w:r>
        <w:rPr>
          <w:sz w:val="28"/>
        </w:rPr>
        <w:t xml:space="preserve">га на 2024 год и плановый период 2025 – 2026 годы по </w:t>
      </w:r>
      <w:r>
        <w:rPr>
          <w:sz w:val="28"/>
        </w:rPr>
        <w:t>Кринично-Лугскому</w:t>
      </w:r>
      <w:r>
        <w:rPr>
          <w:sz w:val="28"/>
        </w:rPr>
        <w:t xml:space="preserve"> сельскому поселению Куйбышевского района Ростовской области, при расчете учитывались изменения кадастровой стоимости земельных </w:t>
      </w:r>
      <w:r>
        <w:rPr>
          <w:sz w:val="28"/>
        </w:rPr>
        <w:t>участков</w:t>
      </w:r>
      <w:r>
        <w:rPr>
          <w:sz w:val="28"/>
        </w:rPr>
        <w:t xml:space="preserve"> утвержденные Постановлением министерства имуществ</w:t>
      </w:r>
      <w:r>
        <w:rPr>
          <w:sz w:val="28"/>
        </w:rPr>
        <w:t xml:space="preserve">енных и земельных отношений, финансового оздоровления предприятий, организаций Ростовской области от 11.11.2022 № П-7; </w:t>
      </w:r>
    </w:p>
    <w:p w14:paraId="2D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-о налоговых льготах, представленных в соответствии со статьями 391 и 395 Налогового кодекса Российской федерации, 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27.11.2015 № 187 «О земельном налоге»; </w:t>
      </w:r>
    </w:p>
    <w:p w14:paraId="2E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-о планируемом объеме погашения  </w:t>
      </w:r>
      <w:r>
        <w:rPr>
          <w:sz w:val="28"/>
        </w:rPr>
        <w:t>недоимки  прошлых  лет по  состоянию на 01.10.2023 год  по  данным  Управления  Федеральной  налоговой  службы по Ростовской области -100,0 тыс. рублей;</w:t>
      </w:r>
    </w:p>
    <w:p w14:paraId="2F0A0000">
      <w:pPr>
        <w:ind w:firstLine="720" w:left="0"/>
        <w:jc w:val="both"/>
        <w:rPr>
          <w:sz w:val="28"/>
        </w:rPr>
      </w:pPr>
      <w:r>
        <w:rPr>
          <w:sz w:val="28"/>
        </w:rPr>
        <w:t>Поступления по земельному налогу в бюджет поселения планируются на 2024 год в сумме 6 614,7 тыс. рублей</w:t>
      </w:r>
      <w:r>
        <w:rPr>
          <w:sz w:val="28"/>
        </w:rPr>
        <w:t>, на 2025-2026 годы в сумме 12 133,8 тыс. рублей ежегодно, согласно приложению 5 к пояснительной записке.</w:t>
      </w:r>
    </w:p>
    <w:p w14:paraId="300A0000">
      <w:pPr>
        <w:ind/>
        <w:jc w:val="center"/>
        <w:rPr>
          <w:b w:val="1"/>
          <w:i w:val="1"/>
          <w:sz w:val="28"/>
        </w:rPr>
      </w:pPr>
    </w:p>
    <w:p w14:paraId="31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Государственная пошлина</w:t>
      </w:r>
    </w:p>
    <w:p w14:paraId="320A0000">
      <w:pPr>
        <w:ind w:firstLine="709" w:left="0"/>
        <w:jc w:val="both"/>
        <w:rPr>
          <w:sz w:val="28"/>
        </w:rPr>
      </w:pPr>
    </w:p>
    <w:p w14:paraId="330A0000">
      <w:pPr>
        <w:ind w:firstLine="709" w:left="0"/>
        <w:jc w:val="both"/>
        <w:rPr>
          <w:spacing w:val="-1"/>
          <w:sz w:val="28"/>
          <w:u w:val="single"/>
        </w:rPr>
      </w:pPr>
      <w:r>
        <w:rPr>
          <w:sz w:val="28"/>
        </w:rPr>
        <w:t xml:space="preserve">Оценка налогового потенциала по государственной пошлине за совершение нотариальных действий </w:t>
      </w:r>
      <w:r>
        <w:rPr>
          <w:sz w:val="28"/>
        </w:rPr>
        <w:t>должностными лицами органов мест</w:t>
      </w:r>
      <w:r>
        <w:rPr>
          <w:sz w:val="28"/>
        </w:rPr>
        <w:t xml:space="preserve">ного самоуправления, уполномоченными в соответствии с </w:t>
      </w:r>
      <w:r>
        <w:rPr>
          <w:sz w:val="28"/>
        </w:rPr>
        <w:t>законодательными актами Российской Федерации на совершение нотариальных действий производится</w:t>
      </w:r>
      <w:r>
        <w:rPr>
          <w:sz w:val="28"/>
        </w:rPr>
        <w:t xml:space="preserve"> методом прямого счета, на основе ожидаемого объема поступления. В 2024 году планируется поступление в сумме </w:t>
      </w:r>
      <w:r>
        <w:rPr>
          <w:sz w:val="28"/>
        </w:rPr>
        <w:t xml:space="preserve">10,2 тыс. рублей, меньше показателей 2023 года на 41 процент, в 2025 году- 10,6 тыс. рублей, </w:t>
      </w:r>
      <w:r>
        <w:rPr>
          <w:spacing w:val="-1"/>
          <w:sz w:val="28"/>
        </w:rPr>
        <w:t xml:space="preserve">в 2026 году- 11,0 тыс. рублей, </w:t>
      </w:r>
      <w:r>
        <w:rPr>
          <w:sz w:val="28"/>
        </w:rPr>
        <w:t>согласно приложению 6 к пояснительной записке</w:t>
      </w:r>
      <w:r>
        <w:rPr>
          <w:spacing w:val="-1"/>
          <w:sz w:val="28"/>
        </w:rPr>
        <w:t>.</w:t>
      </w:r>
    </w:p>
    <w:p w14:paraId="340A0000">
      <w:pPr>
        <w:ind w:firstLine="708" w:left="0"/>
        <w:jc w:val="center"/>
        <w:rPr>
          <w:b w:val="1"/>
          <w:i w:val="1"/>
          <w:sz w:val="28"/>
        </w:rPr>
      </w:pPr>
    </w:p>
    <w:p w14:paraId="35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Неналоговые доходы</w:t>
      </w:r>
    </w:p>
    <w:p w14:paraId="360A0000">
      <w:pPr>
        <w:ind/>
        <w:jc w:val="center"/>
        <w:rPr>
          <w:b w:val="1"/>
          <w:sz w:val="28"/>
        </w:rPr>
      </w:pPr>
    </w:p>
    <w:p w14:paraId="37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Доходы от использования имущества, находящегося в государственно</w:t>
      </w:r>
      <w:r>
        <w:rPr>
          <w:b w:val="1"/>
          <w:i w:val="1"/>
          <w:sz w:val="28"/>
        </w:rPr>
        <w:t>й и муниципальной собственности</w:t>
      </w:r>
    </w:p>
    <w:p w14:paraId="380A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</w:p>
    <w:p w14:paraId="39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Доходы от использования имущества, находящегося в государственной и муниципальной собственности, подлежащие зачислению в бюджет поселения, рассчитаны на 2024 год в сумме 406,7 тыс. рублей, на 2025 год в сумме 422,9 тыс</w:t>
      </w:r>
      <w:r>
        <w:rPr>
          <w:sz w:val="28"/>
        </w:rPr>
        <w:t xml:space="preserve">. рублей, на 2026 год в сумме 439,8 тыс. рублей. </w:t>
      </w:r>
    </w:p>
    <w:p w14:paraId="3A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В 2024 году по сравнению с уточненным планом 2023 года объем поступлений увеличился на 15,4тыс. рублей или на 4,0 процента.</w:t>
      </w:r>
      <w:r>
        <w:t xml:space="preserve"> </w:t>
      </w:r>
      <w:r>
        <w:rPr>
          <w:sz w:val="28"/>
        </w:rPr>
        <w:t>Доходы, получаемые в виде арендной платы, предусмотрены в следующих размерах:</w:t>
      </w:r>
    </w:p>
    <w:p w14:paraId="3B0A0000">
      <w:pPr>
        <w:ind w:firstLine="720" w:left="0"/>
        <w:jc w:val="both"/>
        <w:rPr>
          <w:sz w:val="28"/>
        </w:rPr>
      </w:pPr>
      <w:r>
        <w:rPr>
          <w:sz w:val="28"/>
        </w:rPr>
        <w:t>- Д</w:t>
      </w:r>
      <w:r>
        <w:rPr>
          <w:sz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запланиро</w:t>
      </w:r>
      <w:r>
        <w:rPr>
          <w:sz w:val="28"/>
        </w:rPr>
        <w:t>ваны на 2024 год в сумме 114,0 тыс. рублей, на 2025 и 2026 годы в сумме 118,6 тыс. рублей и 123,3 тыс. рублей соответственно;</w:t>
      </w:r>
    </w:p>
    <w:p w14:paraId="3C0A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- Доходы от сдачи в аренду имущества, находящегося в оперативном управлении органов управления сельских поселений и созданных ими </w:t>
      </w:r>
      <w:r>
        <w:rPr>
          <w:sz w:val="28"/>
        </w:rPr>
        <w:t>учреждений (за исключением имущества муниципальных бюджетных и автономных учреждений на 2024 год запланированы в сумме271,6 тыс. рублей, на 2025год в сумме 282,4 тыс. рублей, на 2025 год в сумме 293,7 тыс. рублей;</w:t>
      </w:r>
    </w:p>
    <w:p w14:paraId="3D0A0000">
      <w:pPr>
        <w:ind w:firstLine="720" w:left="0"/>
        <w:jc w:val="both"/>
        <w:rPr>
          <w:sz w:val="28"/>
        </w:rPr>
      </w:pPr>
      <w:r>
        <w:rPr>
          <w:sz w:val="28"/>
        </w:rPr>
        <w:t>- Доходы от сдачи в аренду имущества, сост</w:t>
      </w:r>
      <w:r>
        <w:rPr>
          <w:sz w:val="28"/>
        </w:rPr>
        <w:t xml:space="preserve">авляющего казну сельских поселений (за исключением земельных участков) запланированы на 2024 год в сумме 21,1 тыс. рублей, на 2025 год в сумме 21,9 тыс. рублей, на 2026 год в сумме 22,8 тыс. рублей. </w:t>
      </w:r>
      <w:r>
        <w:rPr>
          <w:sz w:val="28"/>
        </w:rPr>
        <w:t>Согласно приложению 7 к пояснительной записке.</w:t>
      </w:r>
    </w:p>
    <w:p w14:paraId="3E0A0000">
      <w:pPr>
        <w:ind/>
        <w:jc w:val="center"/>
        <w:rPr>
          <w:b w:val="1"/>
          <w:i w:val="1"/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ab/>
      </w:r>
      <w:r>
        <w:rPr>
          <w:b w:val="1"/>
          <w:i w:val="1"/>
          <w:sz w:val="28"/>
        </w:rPr>
        <w:t>Штрафы, санкции, возмещение ущерба</w:t>
      </w:r>
    </w:p>
    <w:p w14:paraId="3F0A0000">
      <w:pPr>
        <w:ind/>
        <w:jc w:val="center"/>
        <w:rPr>
          <w:b w:val="1"/>
          <w:i w:val="1"/>
          <w:sz w:val="28"/>
        </w:rPr>
      </w:pPr>
    </w:p>
    <w:p w14:paraId="400A0000">
      <w:pPr>
        <w:ind w:firstLine="708" w:left="0"/>
        <w:jc w:val="both"/>
        <w:rPr>
          <w:sz w:val="28"/>
        </w:rPr>
      </w:pPr>
      <w:r>
        <w:rPr>
          <w:sz w:val="28"/>
        </w:rPr>
        <w:t>Поступления от денежных взысканий (штрафов) и иных сумм в возмещение ущерба, установленные Кодексом Российской Федерации об административных правонарушения</w:t>
      </w:r>
      <w:r>
        <w:rPr>
          <w:sz w:val="28"/>
        </w:rPr>
        <w:t xml:space="preserve">х и Областным законом от 25.10.2002 № 273-ЗС «Об административных правонарушениях», зачисляемые в бюджеты поселений на 2024 год прогнозируется в сумме 0,9 тыс. рублей, на 2025 год в </w:t>
      </w:r>
      <w:r>
        <w:rPr>
          <w:sz w:val="28"/>
        </w:rPr>
        <w:t>сумме 0,9 тыс. рублей, на 2026 год в сумме 1,0 тыс. рублей, согласно прило</w:t>
      </w:r>
      <w:r>
        <w:rPr>
          <w:sz w:val="28"/>
        </w:rPr>
        <w:t>жению 8 к</w:t>
      </w:r>
      <w:r>
        <w:rPr>
          <w:sz w:val="28"/>
        </w:rPr>
        <w:t xml:space="preserve"> пояснительной записке.</w:t>
      </w:r>
    </w:p>
    <w:p w14:paraId="410A0000">
      <w:pPr>
        <w:ind w:firstLine="709" w:left="0"/>
        <w:contextualSpacing w:val="1"/>
        <w:jc w:val="center"/>
        <w:rPr>
          <w:b w:val="1"/>
          <w:i w:val="1"/>
          <w:sz w:val="28"/>
        </w:rPr>
      </w:pPr>
      <w:r>
        <w:rPr>
          <w:sz w:val="28"/>
        </w:rPr>
        <w:t xml:space="preserve">. </w:t>
      </w:r>
      <w:r>
        <w:rPr>
          <w:b w:val="1"/>
          <w:i w:val="1"/>
          <w:sz w:val="28"/>
        </w:rPr>
        <w:t>Безвозмездные поступления</w:t>
      </w:r>
    </w:p>
    <w:p w14:paraId="420A0000">
      <w:pPr>
        <w:pStyle w:val="Style_6"/>
        <w:ind w:firstLine="709" w:left="0"/>
        <w:rPr>
          <w:b w:val="1"/>
          <w:sz w:val="28"/>
        </w:rPr>
      </w:pPr>
    </w:p>
    <w:p w14:paraId="430A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предлагаются на 2024 год – в сумме 14 085,4 тыс. рублей, на 2025 год – 9 762,8 тыс. рублей, на 2026 год – 8 860,7 тыс. рублей.</w:t>
      </w:r>
    </w:p>
    <w:p w14:paraId="440A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 xml:space="preserve">Дотация на выравнивание бюджетной обеспеченности на 2024-2026 годы предусмотрена в сумме 11 719,0 тыс. рублей, 9 375,2 тыс. рублей и 8 437,7 тыс. рублей соответственно. </w:t>
      </w:r>
    </w:p>
    <w:p w14:paraId="450A0000">
      <w:pPr>
        <w:pStyle w:val="Style_6"/>
        <w:spacing w:after="0"/>
        <w:ind w:firstLine="709" w:left="0"/>
        <w:jc w:val="both"/>
        <w:rPr>
          <w:sz w:val="28"/>
        </w:rPr>
      </w:pPr>
      <w:r>
        <w:rPr>
          <w:sz w:val="28"/>
        </w:rPr>
        <w:t>Дотация на поддержку мер по обеспечению сбалансированности бюджетов на 2024 год предус</w:t>
      </w:r>
      <w:r>
        <w:rPr>
          <w:sz w:val="28"/>
        </w:rPr>
        <w:t>мотрена в сумме 1 224,2 тыс. рублей.</w:t>
      </w:r>
    </w:p>
    <w:p w14:paraId="460A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Дотационность</w:t>
      </w:r>
      <w:r>
        <w:rPr>
          <w:sz w:val="28"/>
        </w:rPr>
        <w:t xml:space="preserve">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составляет 47,6 процентов объема собственных доходов.</w:t>
      </w:r>
    </w:p>
    <w:p w14:paraId="470A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Целевые федеральные и областные средства учтены по соответствующим направлениям расходов бюджета поселени</w:t>
      </w:r>
      <w:r>
        <w:rPr>
          <w:sz w:val="28"/>
        </w:rPr>
        <w:t xml:space="preserve">я. В соответствии с проектом </w:t>
      </w:r>
      <w:r>
        <w:rPr>
          <w:sz w:val="28"/>
        </w:rPr>
        <w:t>Областного</w:t>
      </w:r>
      <w:r>
        <w:rPr>
          <w:sz w:val="28"/>
        </w:rPr>
        <w:t xml:space="preserve"> законом о бюджете на 2024 год запланировано в сумме 1 142,2 тыс. рублей, на 2025 год – 387,6тыс. рублей, на 2026 год- 423,0 тыс. рублей. </w:t>
      </w:r>
    </w:p>
    <w:p w14:paraId="48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IV. Расходы бюджета на 2024 год и </w:t>
      </w:r>
    </w:p>
    <w:p w14:paraId="49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плановый период 2025 и 2026 годов</w:t>
      </w:r>
    </w:p>
    <w:p w14:paraId="4A0A0000">
      <w:pPr>
        <w:rPr>
          <w:sz w:val="28"/>
        </w:rPr>
      </w:pPr>
    </w:p>
    <w:p w14:paraId="4B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Особе</w:t>
      </w:r>
      <w:r>
        <w:rPr>
          <w:b w:val="1"/>
          <w:sz w:val="28"/>
        </w:rPr>
        <w:t>нности формирования расходов  бюджета на 2024-2026 годы</w:t>
      </w:r>
    </w:p>
    <w:p w14:paraId="4C0A0000">
      <w:pPr>
        <w:ind/>
        <w:jc w:val="center"/>
        <w:rPr>
          <w:sz w:val="28"/>
          <w:highlight w:val="yellow"/>
        </w:rPr>
      </w:pPr>
    </w:p>
    <w:p w14:paraId="4D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расходов бюджета поселения на 2024-2026 годы осуществлялось на основе Методики и порядка планирования бюджетных ассигнований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</w:t>
      </w:r>
      <w:r>
        <w:rPr>
          <w:sz w:val="28"/>
        </w:rPr>
        <w:t xml:space="preserve">айона. </w:t>
      </w:r>
    </w:p>
    <w:p w14:paraId="4E0A0000">
      <w:pPr>
        <w:ind w:firstLine="709" w:left="0"/>
        <w:jc w:val="both"/>
        <w:rPr>
          <w:sz w:val="28"/>
        </w:rPr>
      </w:pPr>
      <w:r>
        <w:rPr>
          <w:sz w:val="28"/>
        </w:rPr>
        <w:t>Показатели расходов бюджета на 2023-2025 годы сформированы с учетом следующих особенностей.</w:t>
      </w:r>
    </w:p>
    <w:p w14:paraId="4F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решении расходы на оплату труда для работников культуры, установленных указом Президента Российской Федерации от 07.05.2012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"consultantplus://offline/ref=BB5D2BD945F177B5523CB99FA340D6C431B6C931EE22B7926F61593BA2A97EDE464CA512A010424874A4D56A276EN6H"</w:instrText>
      </w:r>
      <w:r>
        <w:rPr>
          <w:sz w:val="28"/>
        </w:rPr>
        <w:fldChar w:fldCharType="separate"/>
      </w:r>
      <w:r>
        <w:rPr>
          <w:sz w:val="28"/>
        </w:rPr>
        <w:t>№ 597</w:t>
      </w:r>
      <w:r>
        <w:rPr>
          <w:sz w:val="28"/>
        </w:rPr>
        <w:fldChar w:fldCharType="end"/>
      </w:r>
      <w:r>
        <w:rPr>
          <w:sz w:val="28"/>
        </w:rPr>
        <w:t xml:space="preserve"> «О мероприятиях по реализации государственной социальной политики», (далее – указы Президента Российской Федерации 2012 года), в связи с необ</w:t>
      </w:r>
      <w:r>
        <w:rPr>
          <w:sz w:val="28"/>
        </w:rPr>
        <w:t>ходимостью сохранения соотношения средней заработной платы по этим категориям с показателем «среднемесячный доход от трудовой деятельности» по Ростовской области предусмотрены в полном объеме, бюджетные ассигнования на</w:t>
      </w:r>
      <w:r>
        <w:rPr>
          <w:sz w:val="28"/>
        </w:rPr>
        <w:t xml:space="preserve"> 2024 - 2026 годы, в соответствии с пр</w:t>
      </w:r>
      <w:r>
        <w:rPr>
          <w:sz w:val="28"/>
        </w:rPr>
        <w:t>огнозом социально-экономического развития на 2024 - 2026 годы, учтены в размере с 1 января 2024 года – 42 452,9 рубля, с 1 января 2025 года – 45 339,6 рублей, с 1 января 2026 года -48 241,4 рублей.</w:t>
      </w:r>
    </w:p>
    <w:p w14:paraId="50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ежегодного </w:t>
      </w:r>
      <w:r>
        <w:rPr>
          <w:sz w:val="28"/>
        </w:rPr>
        <w:t>повышения оплаты труда работников местн</w:t>
      </w:r>
      <w:r>
        <w:rPr>
          <w:sz w:val="28"/>
        </w:rPr>
        <w:t>ого самоуправления</w:t>
      </w:r>
      <w:r>
        <w:rPr>
          <w:sz w:val="28"/>
        </w:rPr>
        <w:t xml:space="preserve"> предусмотрена индексация расходов на прогнозный уровень </w:t>
      </w:r>
      <w:r>
        <w:rPr>
          <w:sz w:val="28"/>
        </w:rPr>
        <w:t>инфляции на 2024 год с 1 октября на 4,5 процента, на 2025-2026 годы 4,0 процента ежегодно.</w:t>
      </w:r>
    </w:p>
    <w:p w14:paraId="510A0000">
      <w:pPr>
        <w:ind w:firstLine="709" w:left="0"/>
        <w:jc w:val="both"/>
        <w:rPr>
          <w:sz w:val="28"/>
        </w:rPr>
      </w:pPr>
      <w:r>
        <w:rPr>
          <w:sz w:val="28"/>
        </w:rPr>
        <w:t>Учтены прогнозные положения федерального закона «О внесении изменений в статью 1 Федеральн</w:t>
      </w:r>
      <w:r>
        <w:rPr>
          <w:sz w:val="28"/>
        </w:rPr>
        <w:t xml:space="preserve">ого закона «О минимальном </w:t>
      </w:r>
      <w:r>
        <w:rPr>
          <w:sz w:val="28"/>
        </w:rPr>
        <w:t>размере оплаты труда</w:t>
      </w:r>
      <w:r>
        <w:rPr>
          <w:sz w:val="28"/>
        </w:rPr>
        <w:t xml:space="preserve">», которым предусматривается прогнозное увеличение МРОТ с 1 января 2024 года – 19 242 рубля. </w:t>
      </w:r>
    </w:p>
    <w:p w14:paraId="52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инвестиционные объекты: в 2024 году запланирован инвестиционный проект в рамках инициативного бюджетирова</w:t>
      </w:r>
      <w:r>
        <w:rPr>
          <w:sz w:val="28"/>
        </w:rPr>
        <w:t xml:space="preserve">ния по объекту благоустройство территории кладбища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я(</w:t>
      </w:r>
      <w:r>
        <w:rPr>
          <w:sz w:val="28"/>
        </w:rPr>
        <w:t>устройство ограждения), расположенного по адресу: Ростовская область, Куйбышевский район, 1,0км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запад от с. Миллерово.</w:t>
      </w:r>
    </w:p>
    <w:p w14:paraId="530A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соответствии с решением Собрания депутатов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 «О 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бюджет составлен на основе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540A0000">
      <w:pPr>
        <w:ind w:firstLine="709" w:left="0"/>
        <w:jc w:val="both"/>
        <w:rPr>
          <w:sz w:val="28"/>
        </w:rPr>
      </w:pPr>
      <w:r>
        <w:rPr>
          <w:sz w:val="28"/>
        </w:rPr>
        <w:t>На реализацию 11  му</w:t>
      </w:r>
      <w:r>
        <w:rPr>
          <w:sz w:val="28"/>
        </w:rPr>
        <w:t xml:space="preserve">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2024 году предусмотрено 27 416,2 тыс. рублей, в 2025 году – 27 981,6 тыс. рублей и в 2026 году – 25 086,5тыс. рублей. В программах на 2024 год сосредоточено 96,6 процентов, на 2025-2026 годы – 94</w:t>
      </w:r>
      <w:r>
        <w:rPr>
          <w:sz w:val="28"/>
        </w:rPr>
        <w:t xml:space="preserve">,3 процента и 86,8 процентов соответственно от всех расходов бюджета поселения. </w:t>
      </w:r>
    </w:p>
    <w:p w14:paraId="550A0000">
      <w:pPr>
        <w:tabs>
          <w:tab w:leader="none" w:pos="7265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На реализацию 2-х муниципальных программ социальной направленности в проекте бюджета в 2024 году предусмотрено 14 153,1 тыс. рублей, в 2025 году – 14 713,6 тыс. рублей и в </w:t>
      </w:r>
      <w:r>
        <w:rPr>
          <w:sz w:val="28"/>
        </w:rPr>
        <w:t>2026 году – 13 050,8 тыс. рублей, что составляет 51,6, 52,6 и 52,0 процента соответственно от всех ассигнований направленных на реализацию муниципальных программ поселения.</w:t>
      </w:r>
    </w:p>
    <w:p w14:paraId="560A0000">
      <w:pPr>
        <w:tabs>
          <w:tab w:leader="none" w:pos="7265" w:val="left"/>
        </w:tabs>
        <w:ind w:firstLine="709" w:left="0"/>
        <w:jc w:val="both"/>
        <w:rPr>
          <w:sz w:val="28"/>
        </w:rPr>
      </w:pPr>
      <w:r>
        <w:rPr>
          <w:sz w:val="28"/>
        </w:rPr>
        <w:t>Это программы, направленные на развитие культуры и спорта.</w:t>
      </w:r>
    </w:p>
    <w:p w14:paraId="570A0000">
      <w:pPr>
        <w:tabs>
          <w:tab w:leader="none" w:pos="7265" w:val="left"/>
        </w:tabs>
        <w:ind w:firstLine="709" w:left="0"/>
        <w:jc w:val="both"/>
        <w:rPr>
          <w:sz w:val="28"/>
        </w:rPr>
      </w:pPr>
      <w:r>
        <w:rPr>
          <w:sz w:val="28"/>
        </w:rPr>
        <w:t>На реализацию 3-х муници</w:t>
      </w:r>
      <w:r>
        <w:rPr>
          <w:sz w:val="28"/>
        </w:rPr>
        <w:t>пальных программ, направленных на  развитие инфраструктуры и обеспечение условий жизнедеятельности, в бюджете в 2024 году предусмотрено 2 708,9 тыс. рублей, в 2025 году – 1 796,8 тыс. рублей и в 2026 году – 1 198,6 тыс. рублей, что составляет 9,9,  6,4 и 4</w:t>
      </w:r>
      <w:r>
        <w:rPr>
          <w:sz w:val="28"/>
        </w:rPr>
        <w:t>,8 процента соответственно от всех ассигнований на реализацию муниципальных программ поселения.</w:t>
      </w:r>
    </w:p>
    <w:p w14:paraId="580A0000">
      <w:pPr>
        <w:tabs>
          <w:tab w:leader="none" w:pos="7265" w:val="left"/>
        </w:tabs>
        <w:ind w:firstLine="709" w:left="0"/>
        <w:jc w:val="both"/>
        <w:rPr>
          <w:sz w:val="28"/>
        </w:rPr>
      </w:pPr>
    </w:p>
    <w:p w14:paraId="590A0000">
      <w:pPr>
        <w:ind w:firstLine="709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Расходы бюджета по разделам классификации расходов на 2024 год и на плановый период 2025 и 2026 годов</w:t>
      </w:r>
    </w:p>
    <w:p w14:paraId="5A0A0000">
      <w:pPr>
        <w:ind w:firstLine="709" w:left="0"/>
        <w:jc w:val="center"/>
        <w:outlineLvl w:val="0"/>
        <w:rPr>
          <w:b w:val="1"/>
          <w:sz w:val="28"/>
        </w:rPr>
      </w:pPr>
    </w:p>
    <w:p w14:paraId="5B0A0000">
      <w:pPr>
        <w:ind w:firstLine="709" w:left="0"/>
        <w:jc w:val="both"/>
        <w:rPr>
          <w:sz w:val="28"/>
        </w:rPr>
      </w:pPr>
      <w:r>
        <w:rPr>
          <w:sz w:val="28"/>
        </w:rPr>
        <w:t>В 2024 году объем расходов предлагается в сумме 28 387,7</w:t>
      </w:r>
      <w:r>
        <w:rPr>
          <w:sz w:val="28"/>
        </w:rPr>
        <w:t xml:space="preserve"> тыс. рублей, в 2025 году – 29 668,6 тыс. рублей, в 2026 году – 28 917,5 тыс. рублей.</w:t>
      </w:r>
    </w:p>
    <w:p w14:paraId="5C0A0000">
      <w:pPr>
        <w:ind/>
        <w:jc w:val="center"/>
        <w:outlineLvl w:val="0"/>
        <w:rPr>
          <w:b w:val="1"/>
          <w:sz w:val="28"/>
        </w:rPr>
      </w:pPr>
    </w:p>
    <w:p w14:paraId="5D0A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РАЗДЕЛ «ОБЩЕГОСУДАРСТВЕННЫЕ ВОПРОСЫ»</w:t>
      </w:r>
    </w:p>
    <w:p w14:paraId="5E0A0000">
      <w:pPr>
        <w:ind/>
        <w:jc w:val="center"/>
        <w:outlineLvl w:val="0"/>
        <w:rPr>
          <w:b w:val="1"/>
          <w:sz w:val="28"/>
        </w:rPr>
      </w:pPr>
    </w:p>
    <w:p w14:paraId="5F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 разделу «Общегосударственные вопросы» в 2024 году предусмотрены бюджетные ассигнования в сумме 10 887,6 тыс. рублей (ч</w:t>
      </w:r>
      <w:r>
        <w:rPr>
          <w:sz w:val="28"/>
        </w:rPr>
        <w:t>то составляет 38,4 процента от всех расходов), в 2025 году – 12 486,4 тыс. рублей и в 2026 году – 14 027,9 тыс. рублей.</w:t>
      </w:r>
    </w:p>
    <w:p w14:paraId="600A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При расчете данных расходов учтены средства на оплату труда муниципальных служащих, обслуживающего и технического персонала и материальн</w:t>
      </w:r>
      <w:r>
        <w:rPr>
          <w:sz w:val="28"/>
        </w:rPr>
        <w:t xml:space="preserve">о-техническое обеспечение деятельности аппарата управления. </w:t>
      </w:r>
    </w:p>
    <w:p w14:paraId="61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Численность </w:t>
      </w:r>
      <w:r>
        <w:rPr>
          <w:sz w:val="28"/>
        </w:rPr>
        <w:t>работников аппарата управления  органов муниципальной власти</w:t>
      </w:r>
      <w:r>
        <w:rPr>
          <w:sz w:val="28"/>
        </w:rPr>
        <w:t xml:space="preserve"> при расчете установлена в количестве 20,75 единиц, в том числе муниципальных служащих и лиц, замещающих муниципальные долж</w:t>
      </w:r>
      <w:r>
        <w:rPr>
          <w:sz w:val="28"/>
        </w:rPr>
        <w:t>ности, в количестве 7,0 единиц, технического персонала в количестве 6,5 единиц,  обслуживающего персонала в количестве 7,25 единиц.</w:t>
      </w:r>
    </w:p>
    <w:p w14:paraId="620A0000">
      <w:pPr>
        <w:ind w:firstLine="709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В числе основных направлений расходов бюджета по разделу </w:t>
      </w:r>
      <w:r>
        <w:rPr>
          <w:sz w:val="28"/>
        </w:rPr>
        <w:t xml:space="preserve">«Общегосударственные вопросы» </w:t>
      </w:r>
      <w:r>
        <w:rPr>
          <w:spacing w:val="-1"/>
          <w:sz w:val="28"/>
        </w:rPr>
        <w:t xml:space="preserve">предусмотрены средства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>:</w:t>
      </w:r>
    </w:p>
    <w:p w14:paraId="630A0000">
      <w:pPr>
        <w:pStyle w:val="Style_8"/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</w:t>
      </w:r>
      <w:r>
        <w:rPr>
          <w:rFonts w:ascii="Times New Roman" w:hAnsi="Times New Roman"/>
          <w:spacing w:val="-1"/>
          <w:sz w:val="28"/>
        </w:rPr>
        <w:t xml:space="preserve"> обеспечение деятельности </w:t>
      </w:r>
      <w:r>
        <w:rPr>
          <w:rFonts w:ascii="Times New Roman" w:hAnsi="Times New Roman"/>
          <w:sz w:val="28"/>
        </w:rPr>
        <w:t xml:space="preserve">представительных органов местного самоуправления (Собрание депутатов) </w:t>
      </w:r>
      <w:r>
        <w:rPr>
          <w:rFonts w:ascii="Times New Roman" w:hAnsi="Times New Roman"/>
          <w:spacing w:val="-1"/>
          <w:sz w:val="28"/>
        </w:rPr>
        <w:t>в 2024 году в сумме 210,4 тыс. рублей, в 2025 году – 218,2 тыс. рублей, в 2026 году – 226,6 тыс. рублей:</w:t>
      </w:r>
    </w:p>
    <w:p w14:paraId="640A0000">
      <w:pPr>
        <w:ind w:firstLine="720" w:left="0"/>
        <w:jc w:val="both"/>
        <w:rPr>
          <w:sz w:val="28"/>
        </w:rPr>
      </w:pPr>
      <w:r>
        <w:rPr>
          <w:sz w:val="28"/>
        </w:rPr>
        <w:t>Расходы на оплату труда и выплаты по оплате труда в сум</w:t>
      </w:r>
      <w:r>
        <w:rPr>
          <w:sz w:val="28"/>
        </w:rPr>
        <w:t>ме 202,9 тыс. рублей в 2024 году и в сумме 210,7 и 219,1 тыс. рублей в 2025-2026 годы;</w:t>
      </w:r>
    </w:p>
    <w:p w14:paraId="650A0000">
      <w:pPr>
        <w:ind w:firstLine="720" w:left="0"/>
        <w:jc w:val="both"/>
        <w:rPr>
          <w:sz w:val="28"/>
        </w:rPr>
      </w:pPr>
      <w:r>
        <w:rPr>
          <w:sz w:val="28"/>
        </w:rPr>
        <w:t>Расходы на материально-техническое обеспечение в сумме 7,5 тыс. рублей ежегодно.</w:t>
      </w:r>
    </w:p>
    <w:p w14:paraId="660A0000">
      <w:pPr>
        <w:pStyle w:val="Style_8"/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 обеспечение</w:t>
      </w:r>
      <w:r>
        <w:rPr>
          <w:rFonts w:ascii="Times New Roman" w:hAnsi="Times New Roman"/>
          <w:sz w:val="28"/>
        </w:rPr>
        <w:t xml:space="preserve"> деятельности аппарата Администрации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</w:t>
      </w:r>
      <w:r>
        <w:rPr>
          <w:rFonts w:ascii="Times New Roman" w:hAnsi="Times New Roman"/>
          <w:sz w:val="28"/>
        </w:rPr>
        <w:t xml:space="preserve">оселения </w:t>
      </w:r>
      <w:r>
        <w:rPr>
          <w:rFonts w:ascii="Times New Roman" w:hAnsi="Times New Roman"/>
          <w:spacing w:val="-1"/>
          <w:sz w:val="28"/>
        </w:rPr>
        <w:t>в 2024 году в сумме 10 247,1 тыс. рублей, в 2025 году – 11 200,3 тыс. рублей, в 2026 году – 10 814,4 тыс. рублей:</w:t>
      </w:r>
    </w:p>
    <w:p w14:paraId="670A0000">
      <w:pPr>
        <w:pStyle w:val="Style_8"/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на исполнение полномочий по обеспечению пожарной безопасности (противопожарные испытания электропроводки, </w:t>
      </w:r>
      <w:r>
        <w:rPr>
          <w:rFonts w:ascii="Times New Roman" w:hAnsi="Times New Roman"/>
          <w:sz w:val="28"/>
        </w:rPr>
        <w:t xml:space="preserve">противопожарная обработка деревянных конструкций, содержание пожарной сигнализации административных зданий)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</w:r>
      <w:r>
        <w:rPr>
          <w:rFonts w:ascii="Times New Roman" w:hAnsi="Times New Roman"/>
          <w:sz w:val="28"/>
        </w:rPr>
        <w:t>безопасности и безопасности людей на водных объектах» на 2024 год в сумме 79,2 тыс. рублей, на 2025-2026 годы в сумме 40,0 тыс. рублей</w:t>
      </w:r>
      <w:r>
        <w:rPr>
          <w:rFonts w:ascii="Times New Roman" w:hAnsi="Times New Roman"/>
          <w:sz w:val="28"/>
        </w:rPr>
        <w:t xml:space="preserve"> ежегодно;</w:t>
      </w:r>
    </w:p>
    <w:p w14:paraId="68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оплату труда и выплаты по оплате труда муниципальных служащих, обслуживающего персонала и </w:t>
      </w:r>
      <w:r>
        <w:rPr>
          <w:sz w:val="28"/>
        </w:rPr>
        <w:t>лиц, осуще</w:t>
      </w:r>
      <w:r>
        <w:rPr>
          <w:sz w:val="28"/>
        </w:rPr>
        <w:t>ствляющих техническое обеспечение деятельности Администрации предусмотрены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в 2024 году </w:t>
      </w:r>
      <w:r>
        <w:rPr>
          <w:sz w:val="28"/>
        </w:rPr>
        <w:t xml:space="preserve">в сумме 8 794,6 тыс. рублей, </w:t>
      </w:r>
      <w:r>
        <w:rPr>
          <w:spacing w:val="-1"/>
          <w:sz w:val="28"/>
        </w:rPr>
        <w:t xml:space="preserve">в 2025 году 9 257,5 тыс. рублей, в 2026 году </w:t>
      </w:r>
      <w:r>
        <w:rPr>
          <w:sz w:val="28"/>
        </w:rPr>
        <w:t>в сумме 9 274,1 тыс. рублей;</w:t>
      </w:r>
    </w:p>
    <w:p w14:paraId="69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материальное содержание органов местного самоуправления</w:t>
      </w:r>
      <w:r>
        <w:rPr>
          <w:sz w:val="28"/>
        </w:rPr>
        <w:t xml:space="preserve"> составляют в 2024 году в сумме 1 249,4 тыс. рублей, в 2025 году в сумме 1 579,4 тыс. рублей, в 2026 году в сумме 1 196,9 тыс. рублей;</w:t>
      </w:r>
    </w:p>
    <w:p w14:paraId="6A0A0000">
      <w:pPr>
        <w:ind w:firstLine="709" w:left="0"/>
        <w:jc w:val="both"/>
        <w:rPr>
          <w:sz w:val="28"/>
        </w:rPr>
      </w:pPr>
      <w:r>
        <w:rPr>
          <w:sz w:val="28"/>
        </w:rPr>
        <w:t>Расходы по диспансеризации муниципальных служащих в 2024-2025 годах в сумме 20,0 тыс. рублей ежегодно;</w:t>
      </w:r>
    </w:p>
    <w:p w14:paraId="6B0A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направл</w:t>
      </w:r>
      <w:r>
        <w:rPr>
          <w:sz w:val="28"/>
        </w:rPr>
        <w:t>ения расходов уплата транспортного, земельного налогов и иных налогов и сборов в 2024 году в сумме 103,7 тыс. рублей, в 2025-2026 годах в сумме 303,2 тыс. рублей ежегодно;</w:t>
      </w:r>
    </w:p>
    <w:p w14:paraId="6C0A0000">
      <w:pPr>
        <w:spacing w:after="120"/>
        <w:ind w:firstLine="720" w:left="0"/>
        <w:jc w:val="both"/>
        <w:rPr>
          <w:sz w:val="28"/>
        </w:rPr>
      </w:pPr>
      <w:r>
        <w:rPr>
          <w:sz w:val="28"/>
        </w:rPr>
        <w:t>Расходы должностным лицам, уполномоченным составлять протоколы об административных п</w:t>
      </w:r>
      <w:r>
        <w:rPr>
          <w:sz w:val="28"/>
        </w:rPr>
        <w:t xml:space="preserve">равонарушений в 2023-2025 годах в сумме 0,2 тыс. рублей ежегодно, субвенция из областного бюджета.  </w:t>
      </w:r>
    </w:p>
    <w:p w14:paraId="6D0A0000">
      <w:pPr>
        <w:pStyle w:val="Style_8"/>
        <w:numPr>
          <w:ilvl w:val="0"/>
          <w:numId w:val="6"/>
        </w:numPr>
        <w:spacing w:after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Финансовое обеспечение расходов </w:t>
      </w:r>
      <w:r>
        <w:rPr>
          <w:rFonts w:ascii="Times New Roman" w:hAnsi="Times New Roman"/>
          <w:sz w:val="28"/>
        </w:rPr>
        <w:t xml:space="preserve">на подготовку и проведение выборов депутатов Собрания депутатов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t xml:space="preserve"> </w:t>
      </w:r>
      <w:r>
        <w:rPr>
          <w:rFonts w:ascii="Times New Roman" w:hAnsi="Times New Roman"/>
          <w:sz w:val="28"/>
        </w:rPr>
        <w:t>в 2026 году в сумме 1</w:t>
      </w:r>
      <w:r>
        <w:rPr>
          <w:rFonts w:ascii="Times New Roman" w:hAnsi="Times New Roman"/>
          <w:sz w:val="28"/>
        </w:rPr>
        <w:t xml:space="preserve"> 397,8 тыс. рублей.</w:t>
      </w:r>
    </w:p>
    <w:p w14:paraId="6E0A0000">
      <w:pPr>
        <w:pStyle w:val="Style_8"/>
        <w:numPr>
          <w:ilvl w:val="0"/>
          <w:numId w:val="6"/>
        </w:numPr>
        <w:spacing w:after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 обеспечение</w:t>
      </w:r>
      <w:r>
        <w:rPr>
          <w:rFonts w:ascii="Times New Roman" w:hAnsi="Times New Roman"/>
          <w:sz w:val="28"/>
        </w:rPr>
        <w:t xml:space="preserve"> резервного фонда</w:t>
      </w:r>
    </w:p>
    <w:p w14:paraId="6F0A0000">
      <w:pPr>
        <w:ind w:firstLine="709" w:left="0"/>
        <w:jc w:val="both"/>
        <w:rPr>
          <w:sz w:val="28"/>
        </w:rPr>
      </w:pPr>
      <w:r>
        <w:rPr>
          <w:spacing w:val="-1"/>
          <w:sz w:val="28"/>
        </w:rPr>
        <w:t xml:space="preserve">На </w:t>
      </w:r>
      <w:r>
        <w:rPr>
          <w:sz w:val="28"/>
        </w:rPr>
        <w:t xml:space="preserve">формирование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 2024 году предусмотрены средства в сумме 43,0 тыс. рублей, в размере 0,3 процента от объема налоговых и ненал</w:t>
      </w:r>
      <w:r>
        <w:rPr>
          <w:sz w:val="28"/>
        </w:rPr>
        <w:t>оговых доходов, в 2025-2026 годах средства учтены в составе условно утвержденных расходов.</w:t>
      </w:r>
    </w:p>
    <w:p w14:paraId="700A0000">
      <w:pPr>
        <w:pStyle w:val="Style_8"/>
        <w:numPr>
          <w:ilvl w:val="0"/>
          <w:numId w:val="6"/>
        </w:numPr>
        <w:spacing w:after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 обеспечение</w:t>
      </w:r>
      <w:r>
        <w:rPr>
          <w:rFonts w:ascii="Times New Roman" w:hAnsi="Times New Roman"/>
          <w:sz w:val="28"/>
        </w:rPr>
        <w:t xml:space="preserve"> других общегосударственных вопросов в 2024 году в сумме 387,1 тыс. рублей, в 2025 году в сумме 1 067,9 тыс. рублей, в 2026 году в сумме 1 589,</w:t>
      </w:r>
      <w:r>
        <w:rPr>
          <w:rFonts w:ascii="Times New Roman" w:hAnsi="Times New Roman"/>
          <w:sz w:val="28"/>
        </w:rPr>
        <w:t>1 тыс. рублей:</w:t>
      </w:r>
    </w:p>
    <w:p w14:paraId="71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адаптацию для инвалидов и других маломобильных групп населения в рамках программы «Доступная среда» в 2024-2026 годах в сумме 5,0 тыс. рублей ежегодно;</w:t>
      </w:r>
    </w:p>
    <w:p w14:paraId="72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обеспечение противодействия терроризму и экстремизму в рамках муниципальной программы «Обеспечение общественного порядка и противодействие преступности» в 2024-2026 годах в сумме 2 тыс. рублей ежегодно; </w:t>
      </w:r>
    </w:p>
    <w:p w14:paraId="73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создание развитие информационн</w:t>
      </w:r>
      <w:r>
        <w:rPr>
          <w:sz w:val="28"/>
        </w:rPr>
        <w:t>ой инфраструктуры  в рамках муниципальной программы «Информационное общество» (приобретение программного обеспечения, ЭЦП, информационно-консультационные услуги, печать в официальных источниках) в 2024 году в сумме 197,7 тыс. рублей, в 2025 году в сумме 18</w:t>
      </w:r>
      <w:r>
        <w:rPr>
          <w:sz w:val="28"/>
        </w:rPr>
        <w:t xml:space="preserve">1,5 тыс. рублей, в 2026 году в сумме 10,0 тыс. рублей; </w:t>
      </w:r>
    </w:p>
    <w:p w14:paraId="740A0000">
      <w:pPr>
        <w:pStyle w:val="Style_8"/>
        <w:spacing w:after="12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направления расходов, уплата транспортного налога в 2024-2026 годах в сумме 5,9 тыс. рублей ежегодно;</w:t>
      </w:r>
    </w:p>
    <w:p w14:paraId="750A0000">
      <w:pPr>
        <w:pStyle w:val="Style_8"/>
        <w:spacing w:after="12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оценку муниципального имущества, признание прав и регулирование отношений по</w:t>
      </w:r>
      <w:r>
        <w:rPr>
          <w:rFonts w:ascii="Times New Roman" w:hAnsi="Times New Roman"/>
          <w:sz w:val="28"/>
        </w:rPr>
        <w:t xml:space="preserve"> муниципальной собственности в 2024 году в сумме 10,0 тыс. рублей;</w:t>
      </w:r>
    </w:p>
    <w:p w14:paraId="760A0000">
      <w:pPr>
        <w:pStyle w:val="Style_8"/>
        <w:spacing w:after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в 2024-2026 годах в сумме </w:t>
      </w:r>
      <w:r>
        <w:rPr>
          <w:rFonts w:ascii="Times New Roman" w:hAnsi="Times New Roman"/>
          <w:sz w:val="28"/>
        </w:rPr>
        <w:t>121,5 тыс. рублей ежегодно (передача полномочий Куйбышевскому району по внутреннему муниципальному финансовому контролю).</w:t>
      </w:r>
    </w:p>
    <w:p w14:paraId="770A0000">
      <w:pPr>
        <w:pStyle w:val="Style_8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направления расходов в рамках непрограммных расходов в 2024 году в сумме 25,0 тыс. рублей;</w:t>
      </w:r>
    </w:p>
    <w:p w14:paraId="78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уплата членского взноса в Совет муниципальных образований Ростовской области в 2024-2026 годах в сумме 20,0 тыс. рублей ежегодно;  </w:t>
      </w:r>
    </w:p>
    <w:p w14:paraId="79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Специальные расходы, условно утвержденные расходы в рамках непрограммных расходов органа местного самоуправления </w:t>
      </w:r>
      <w:r>
        <w:rPr>
          <w:sz w:val="28"/>
        </w:rPr>
        <w:t>Кринично-Лу</w:t>
      </w:r>
      <w:r>
        <w:rPr>
          <w:sz w:val="28"/>
        </w:rPr>
        <w:t>гского</w:t>
      </w:r>
      <w:r>
        <w:rPr>
          <w:sz w:val="28"/>
        </w:rPr>
        <w:t xml:space="preserve">  сельского поселения в 2025 году в сумме 732,0 тыс. рублей, в 2026 году в сумме 1 424,7 тыс. рублей.</w:t>
      </w:r>
    </w:p>
    <w:p w14:paraId="7A0A0000">
      <w:pPr>
        <w:ind w:firstLine="709" w:left="0"/>
        <w:jc w:val="both"/>
        <w:rPr>
          <w:sz w:val="28"/>
        </w:rPr>
      </w:pPr>
      <w:r>
        <w:rPr>
          <w:sz w:val="28"/>
        </w:rPr>
        <w:t>Необходимость планирования условно утвержденных расходов на 2025 –2026 годы в настоящее время обусловлена нормой Бюджетного кодекса Российской Федер</w:t>
      </w:r>
      <w:r>
        <w:rPr>
          <w:sz w:val="28"/>
        </w:rPr>
        <w:t>ации: на 2025 год – не менее 2,5 процентов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2026 год –</w:t>
      </w:r>
      <w:r>
        <w:rPr>
          <w:sz w:val="28"/>
        </w:rPr>
        <w:t xml:space="preserve"> не менее 5 процентов. </w:t>
      </w:r>
    </w:p>
    <w:p w14:paraId="7B0A0000">
      <w:pPr>
        <w:ind/>
        <w:jc w:val="center"/>
        <w:outlineLvl w:val="2"/>
        <w:rPr>
          <w:b w:val="1"/>
          <w:sz w:val="28"/>
        </w:rPr>
      </w:pPr>
    </w:p>
    <w:p w14:paraId="7C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 «НАЦИОНАЛЬНАЯ ОБОРОНА»</w:t>
      </w:r>
    </w:p>
    <w:p w14:paraId="7D0A0000">
      <w:pPr>
        <w:ind w:firstLine="709" w:left="0"/>
        <w:jc w:val="both"/>
        <w:rPr>
          <w:b w:val="1"/>
          <w:i w:val="1"/>
          <w:sz w:val="28"/>
        </w:rPr>
      </w:pPr>
    </w:p>
    <w:p w14:paraId="7E0A0000">
      <w:pPr>
        <w:ind w:firstLine="709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Подраздел «Мобилизационная и вневойсковая подготовка» </w:t>
      </w:r>
    </w:p>
    <w:p w14:paraId="7F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</w:t>
      </w:r>
      <w:r>
        <w:rPr>
          <w:color w:val="FFFFFF"/>
          <w:sz w:val="28"/>
        </w:rPr>
        <w:t xml:space="preserve"> </w:t>
      </w:r>
      <w:r>
        <w:rPr>
          <w:sz w:val="28"/>
        </w:rPr>
        <w:t xml:space="preserve">«Национальная оборона» на 2024 год предусмотрены бюджетные ассигнования в сумме 352,6 тыс. рублей, на 2025 год – </w:t>
      </w:r>
      <w:r>
        <w:rPr>
          <w:sz w:val="28"/>
        </w:rPr>
        <w:t>387,4 тыс. рублей и на 2026 год – 422,8 тыс. рублей.</w:t>
      </w:r>
    </w:p>
    <w:p w14:paraId="800A0000">
      <w:pPr>
        <w:ind w:firstLine="709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Расходы по данному разделу будут направлены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>:</w:t>
      </w:r>
    </w:p>
    <w:p w14:paraId="810A0000">
      <w:pPr>
        <w:ind w:firstLine="709" w:left="0"/>
        <w:jc w:val="both"/>
        <w:rPr>
          <w:sz w:val="28"/>
        </w:rPr>
      </w:pPr>
      <w:r>
        <w:rPr>
          <w:sz w:val="28"/>
        </w:rPr>
        <w:t>выполнение переданных полномочий Российской Федерации за счет средств федерального бюджета на осуществление первичного воинского учета органами местного са</w:t>
      </w:r>
      <w:r>
        <w:rPr>
          <w:sz w:val="28"/>
        </w:rPr>
        <w:t>моуправления поселений (Расходы на оплату труда и выплаты по оплате труда).</w:t>
      </w:r>
    </w:p>
    <w:p w14:paraId="820A0000">
      <w:pPr>
        <w:ind w:firstLine="709" w:left="0"/>
        <w:jc w:val="both"/>
        <w:rPr>
          <w:sz w:val="28"/>
        </w:rPr>
      </w:pPr>
    </w:p>
    <w:p w14:paraId="83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 xml:space="preserve">РАЗДЕЛ «НАЦИОНАЛЬНАЯ БЕЗОПАСНОСТЬ И </w:t>
      </w:r>
    </w:p>
    <w:p w14:paraId="84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ПРАВООХРАНИТЕЛЬНАЯ ДЕЯТЕЛЬНОСТЬ»</w:t>
      </w:r>
    </w:p>
    <w:p w14:paraId="850A0000">
      <w:pPr>
        <w:ind w:firstLine="709" w:left="0"/>
        <w:jc w:val="both"/>
        <w:rPr>
          <w:b w:val="1"/>
          <w:i w:val="1"/>
          <w:sz w:val="28"/>
        </w:rPr>
      </w:pPr>
    </w:p>
    <w:p w14:paraId="860A0000">
      <w:pPr>
        <w:ind w:firstLine="709" w:left="0"/>
        <w:jc w:val="both"/>
        <w:rPr>
          <w:i w:val="1"/>
          <w:sz w:val="28"/>
        </w:rPr>
      </w:pPr>
      <w:r>
        <w:rPr>
          <w:i w:val="1"/>
          <w:sz w:val="28"/>
        </w:rPr>
        <w:t>Подраздел «Защита населения и территории от чрезвычайных ситуаций природного и техногенного характера, пожар</w:t>
      </w:r>
      <w:r>
        <w:rPr>
          <w:i w:val="1"/>
          <w:sz w:val="28"/>
        </w:rPr>
        <w:t xml:space="preserve">ная безопасность» </w:t>
      </w:r>
    </w:p>
    <w:p w14:paraId="87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«Национальная безопасность и правоохранительная деятельность» в 2024-2025 годах предусмотрены бюджетные ассигнования в сумме 30,0 тыс. рублей ежегодно.</w:t>
      </w:r>
    </w:p>
    <w:p w14:paraId="880A0000">
      <w:pPr>
        <w:tabs>
          <w:tab w:leader="none" w:pos="993" w:val="left"/>
        </w:tabs>
        <w:spacing w:after="120"/>
        <w:ind w:firstLine="851" w:left="0"/>
        <w:jc w:val="both"/>
        <w:outlineLvl w:val="0"/>
        <w:rPr>
          <w:sz w:val="28"/>
        </w:rPr>
      </w:pPr>
      <w:r>
        <w:rPr>
          <w:sz w:val="28"/>
        </w:rPr>
        <w:t>Данный раздел аккумулирует расходы бюджета на исполнен</w:t>
      </w:r>
      <w:r>
        <w:rPr>
          <w:sz w:val="28"/>
        </w:rPr>
        <w:t xml:space="preserve">ие полномочий по обеспечению пожарной безопасности (Расходы на противопожарную опашку населенных пунктов поселения), в рамках подпрограммы «Пожарная безопасность» муниципальной программы «Защита населения и территории от чрезвычайных ситуаций, обеспечение </w:t>
      </w:r>
      <w:r>
        <w:rPr>
          <w:sz w:val="28"/>
        </w:rPr>
        <w:t xml:space="preserve">пожарной безопасности и безопасности людей на водных объектах» </w:t>
      </w:r>
    </w:p>
    <w:p w14:paraId="890A0000">
      <w:pPr>
        <w:ind/>
        <w:jc w:val="center"/>
        <w:outlineLvl w:val="2"/>
        <w:rPr>
          <w:b w:val="1"/>
          <w:sz w:val="28"/>
        </w:rPr>
      </w:pPr>
    </w:p>
    <w:p w14:paraId="8A0A0000">
      <w:pPr>
        <w:ind/>
        <w:jc w:val="center"/>
        <w:outlineLvl w:val="2"/>
        <w:rPr>
          <w:sz w:val="28"/>
        </w:rPr>
      </w:pPr>
      <w:r>
        <w:rPr>
          <w:b w:val="1"/>
          <w:sz w:val="28"/>
        </w:rPr>
        <w:t>РАЗДЕЛ «НАЦИОНАЛЬНАЯ ЭКОНОМИКА»</w:t>
      </w:r>
    </w:p>
    <w:p w14:paraId="8B0A0000">
      <w:pPr>
        <w:ind w:firstLine="709" w:left="0"/>
        <w:outlineLvl w:val="0"/>
        <w:rPr>
          <w:b w:val="1"/>
          <w:i w:val="1"/>
          <w:sz w:val="28"/>
        </w:rPr>
      </w:pPr>
    </w:p>
    <w:p w14:paraId="8C0A0000">
      <w:pPr>
        <w:ind w:firstLine="709" w:left="0"/>
        <w:outlineLvl w:val="0"/>
        <w:rPr>
          <w:i w:val="1"/>
          <w:sz w:val="28"/>
        </w:rPr>
      </w:pPr>
      <w:r>
        <w:rPr>
          <w:i w:val="1"/>
          <w:sz w:val="28"/>
        </w:rPr>
        <w:t>Подраздел</w:t>
      </w:r>
      <w:r>
        <w:rPr>
          <w:sz w:val="28"/>
        </w:rPr>
        <w:t xml:space="preserve"> </w:t>
      </w:r>
      <w:r>
        <w:rPr>
          <w:i w:val="1"/>
          <w:sz w:val="28"/>
        </w:rPr>
        <w:t>«Другие вопросы в области национальной экономики»</w:t>
      </w:r>
    </w:p>
    <w:p w14:paraId="8D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В бюджете поселения по данному подразделу в 2024 году и 2025 году предусмотрены бюджетные </w:t>
      </w:r>
      <w:r>
        <w:rPr>
          <w:sz w:val="28"/>
        </w:rPr>
        <w:t>ассигнования в сумме 10,0 тыс. рублей ежегодно, для изготовления межевого плана.</w:t>
      </w:r>
    </w:p>
    <w:p w14:paraId="8E0A0000">
      <w:pPr>
        <w:ind/>
        <w:jc w:val="center"/>
        <w:outlineLvl w:val="2"/>
        <w:rPr>
          <w:b w:val="1"/>
          <w:sz w:val="28"/>
        </w:rPr>
      </w:pPr>
    </w:p>
    <w:p w14:paraId="8F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«ЖИЛИЩНО-КОММУНАЛЬНОЕ ХОЗЯЙСТВО»</w:t>
      </w:r>
    </w:p>
    <w:p w14:paraId="900A0000">
      <w:pPr>
        <w:widowControl w:val="0"/>
        <w:ind w:firstLine="709" w:left="0"/>
        <w:jc w:val="both"/>
        <w:rPr>
          <w:sz w:val="28"/>
        </w:rPr>
      </w:pPr>
    </w:p>
    <w:p w14:paraId="91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«Жилищно-коммунальное хозяйство» предусмотрены бюджетные ассигнования в 2024 году в сумме 2 709,9 тыс.</w:t>
      </w:r>
      <w:r>
        <w:rPr>
          <w:sz w:val="28"/>
        </w:rPr>
        <w:t xml:space="preserve"> рублей, в 2025 -2026 годах в сумме 1 797,8 тыс. рублей и 1 199,6 тыс. рублей </w:t>
      </w:r>
      <w:r>
        <w:rPr>
          <w:sz w:val="28"/>
        </w:rPr>
        <w:t>соответтвенно</w:t>
      </w:r>
      <w:r>
        <w:rPr>
          <w:sz w:val="28"/>
        </w:rPr>
        <w:t>.</w:t>
      </w:r>
    </w:p>
    <w:p w14:paraId="920A0000">
      <w:pPr>
        <w:ind w:firstLine="709" w:left="0"/>
        <w:jc w:val="both"/>
        <w:outlineLvl w:val="0"/>
        <w:rPr>
          <w:b w:val="1"/>
          <w:i w:val="1"/>
          <w:sz w:val="28"/>
        </w:rPr>
      </w:pPr>
    </w:p>
    <w:p w14:paraId="930A0000">
      <w:pPr>
        <w:ind w:firstLine="709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 «Коммунальное хозяйство»</w:t>
      </w:r>
    </w:p>
    <w:p w14:paraId="94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Содержание и ремонт газового хозяйства в рамках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«Обеспечение кач</w:t>
      </w:r>
      <w:r>
        <w:rPr>
          <w:sz w:val="28"/>
        </w:rPr>
        <w:t xml:space="preserve">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2024-2025 годах в сумме 9,6 тыс. рублей ежегодно (Расходы на осмотр и техническое обслуживание газопровода в х. </w:t>
      </w:r>
      <w:r>
        <w:rPr>
          <w:sz w:val="28"/>
        </w:rPr>
        <w:t>Карташево</w:t>
      </w:r>
      <w:r>
        <w:rPr>
          <w:sz w:val="28"/>
        </w:rPr>
        <w:t>).</w:t>
      </w:r>
    </w:p>
    <w:p w14:paraId="950A0000">
      <w:pPr>
        <w:ind w:firstLine="709" w:left="0"/>
        <w:jc w:val="center"/>
        <w:outlineLvl w:val="0"/>
        <w:rPr>
          <w:b w:val="1"/>
          <w:i w:val="1"/>
          <w:sz w:val="28"/>
        </w:rPr>
      </w:pPr>
    </w:p>
    <w:p w14:paraId="960A0000">
      <w:pPr>
        <w:ind w:firstLine="709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</w:t>
      </w:r>
      <w:r>
        <w:rPr>
          <w:sz w:val="28"/>
        </w:rPr>
        <w:t xml:space="preserve"> </w:t>
      </w:r>
      <w:r>
        <w:rPr>
          <w:i w:val="1"/>
          <w:sz w:val="28"/>
        </w:rPr>
        <w:t>«Благоустройство»</w:t>
      </w:r>
    </w:p>
    <w:p w14:paraId="97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В бюджете </w:t>
      </w:r>
      <w:r>
        <w:rPr>
          <w:sz w:val="28"/>
        </w:rPr>
        <w:t>поселения по подразделу «Благоустройство» предусмотрены бюджетные ассигнования в 2024 году в сумме 2 700,3 тыс. рублей, в 2025 году – 1 788,2 тыс. рублей, в 2026 году -1 199,6 тыс. рублей.</w:t>
      </w:r>
    </w:p>
    <w:p w14:paraId="98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По данному разделу предусмотрены бюджетные ассигнования </w:t>
      </w:r>
      <w:r>
        <w:rPr>
          <w:sz w:val="28"/>
        </w:rPr>
        <w:t>на</w:t>
      </w:r>
      <w:r>
        <w:rPr>
          <w:sz w:val="28"/>
        </w:rPr>
        <w:t>:</w:t>
      </w:r>
    </w:p>
    <w:p w14:paraId="99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Реализация программ формирования современной городской среды в рамках муниципальной программы «Формирование современной городской среды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 году в сумме 50,0 тыс. рублей.</w:t>
      </w:r>
    </w:p>
    <w:p w14:paraId="9A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 Расходы на реализацию мероп</w:t>
      </w:r>
      <w:r>
        <w:rPr>
          <w:sz w:val="28"/>
        </w:rPr>
        <w:t xml:space="preserve">риятий по содержанию памятников и кладбищ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я» в 2024 году в сумме 146,8 тыс. рублей, в 2025 году в сумме 129,2 тыс. рублей  (</w:t>
      </w:r>
      <w:r>
        <w:rPr>
          <w:sz w:val="28"/>
        </w:rPr>
        <w:t>акарицидная</w:t>
      </w:r>
      <w:r>
        <w:rPr>
          <w:sz w:val="28"/>
        </w:rPr>
        <w:t xml:space="preserve"> обработка и </w:t>
      </w:r>
      <w:r>
        <w:rPr>
          <w:sz w:val="28"/>
        </w:rPr>
        <w:t>обкос</w:t>
      </w:r>
      <w:r>
        <w:rPr>
          <w:sz w:val="28"/>
        </w:rPr>
        <w:t xml:space="preserve"> территории, вывоз мусора, приобретение строительных материалов для текущего ремонта мест захоронения);</w:t>
      </w:r>
    </w:p>
    <w:p w14:paraId="9B0A0000">
      <w:pPr>
        <w:numPr>
          <w:ilvl w:val="0"/>
          <w:numId w:val="7"/>
        </w:numPr>
        <w:ind w:firstLine="850" w:left="0"/>
        <w:jc w:val="both"/>
        <w:outlineLvl w:val="0"/>
        <w:rPr>
          <w:sz w:val="28"/>
        </w:rPr>
      </w:pPr>
      <w:r>
        <w:rPr>
          <w:sz w:val="28"/>
        </w:rPr>
        <w:t>Расходы на реализацию мероприятий по благ</w:t>
      </w:r>
      <w:r>
        <w:rPr>
          <w:sz w:val="28"/>
        </w:rPr>
        <w:t xml:space="preserve">оустройству и содержанию зеленых насаждений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 году в сумме 171,0 тыс. руб</w:t>
      </w:r>
      <w:r>
        <w:rPr>
          <w:sz w:val="28"/>
        </w:rPr>
        <w:t xml:space="preserve">лей, в 2025 году в сумме 100,0 </w:t>
      </w:r>
      <w:r>
        <w:rPr>
          <w:sz w:val="28"/>
        </w:rPr>
        <w:t>тыс. рублей, в 2026 году 0,0 тыс. рублей, (расходы по содержанию имущества, приобретения саженцев роз и рассады петунии);</w:t>
      </w:r>
    </w:p>
    <w:p w14:paraId="9C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 Расходы на реализацию мероприятий по ремонту, содержанию и оплата за электроэнергию уличного освещени</w:t>
      </w:r>
      <w:r>
        <w:rPr>
          <w:sz w:val="28"/>
        </w:rPr>
        <w:t xml:space="preserve">я населенных пунктов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 году в сумме 1 488,6 тыс. рублей, в 2025 году – 1 </w:t>
      </w:r>
      <w:r>
        <w:rPr>
          <w:sz w:val="28"/>
        </w:rPr>
        <w:t>548,0 тыс. рублей, в 2026 году – 1 188,6 тыс. рублей;</w:t>
      </w:r>
    </w:p>
    <w:p w14:paraId="9D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Субсидия на реализацию инициативных проектов в рамках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«Обеспечение качественными жилищно-коммунальными услугами населения </w:t>
      </w:r>
      <w:r>
        <w:rPr>
          <w:sz w:val="28"/>
        </w:rPr>
        <w:t>Кринично-Лугско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поселения» в 2024 году в сумме 832,9 тыс. рублей, из них в сумме 789,4 тыс. рублей средства областного бюджета, в сумме 43,5 тыс. рублей средства инициативы граждан, из них в сумме 38,5 тыс. рублей средства инициативы граждан-физических лиц, в</w:t>
      </w:r>
      <w:r>
        <w:rPr>
          <w:sz w:val="28"/>
        </w:rPr>
        <w:t xml:space="preserve">  сумме 5</w:t>
      </w:r>
      <w:r>
        <w:rPr>
          <w:sz w:val="28"/>
        </w:rPr>
        <w:t xml:space="preserve"> тыс. рублей средства инициативы индивидуальных предпринимателей для реализации проекта (благоустройство территории кладбища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я(</w:t>
      </w:r>
      <w:r>
        <w:rPr>
          <w:sz w:val="28"/>
        </w:rPr>
        <w:t>устройство ограждения), расположенного по адресу: Ростовская область, Куйбышевский р</w:t>
      </w:r>
      <w:r>
        <w:rPr>
          <w:sz w:val="28"/>
        </w:rPr>
        <w:t>айон, 1,0км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запад от с. Миллерово).</w:t>
      </w:r>
    </w:p>
    <w:p w14:paraId="9E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 Мероприятия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энергетики» </w:t>
      </w:r>
      <w:r>
        <w:rPr>
          <w:sz w:val="28"/>
        </w:rPr>
        <w:t>в 2024-2026 годах в сумме 10,0 тыс. рублей ежегодно.</w:t>
      </w:r>
    </w:p>
    <w:p w14:paraId="9F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-Непрограммное мероприятие по передаче межбюджетных трансфертов бюджету Куйбышевского района по организации ритуальных услуг в 2024-2026 годах в сумме 1,0 тыс. рублей ежегодно.</w:t>
      </w:r>
    </w:p>
    <w:p w14:paraId="A00A0000">
      <w:pPr>
        <w:ind/>
        <w:jc w:val="center"/>
        <w:outlineLvl w:val="2"/>
        <w:rPr>
          <w:sz w:val="28"/>
        </w:rPr>
      </w:pPr>
    </w:p>
    <w:p w14:paraId="A1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«ОХРАНА ОКРУЖАЮЩЕЙ</w:t>
      </w:r>
      <w:r>
        <w:rPr>
          <w:b w:val="1"/>
          <w:sz w:val="28"/>
        </w:rPr>
        <w:t xml:space="preserve"> СРЕДЫ»</w:t>
      </w:r>
    </w:p>
    <w:p w14:paraId="A20A0000">
      <w:pPr>
        <w:ind/>
        <w:jc w:val="center"/>
        <w:outlineLvl w:val="0"/>
        <w:rPr>
          <w:b w:val="1"/>
          <w:sz w:val="28"/>
        </w:rPr>
      </w:pPr>
    </w:p>
    <w:p w14:paraId="A3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 разделу «Охрана окружающей среды» предусмотрены бюджетные ассигнования в 2024-2025 года сумме 46,7 тыс. рублей ежегодно.</w:t>
      </w:r>
    </w:p>
    <w:p w14:paraId="A40A0000">
      <w:pPr>
        <w:ind w:firstLine="709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 «Сбор, удаление отходов и очистка сточных вод»</w:t>
      </w:r>
    </w:p>
    <w:p w14:paraId="A5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Предусмотрены бюджетные ассигнования на комплексные </w:t>
      </w:r>
      <w:r>
        <w:rPr>
          <w:sz w:val="28"/>
        </w:rPr>
        <w:t>услуги по обращению с ртутьсодержащими отходами в рамках муниципальной программы «Охрана окружающей среды и рациональное природопользование».</w:t>
      </w:r>
    </w:p>
    <w:p w14:paraId="A60A0000">
      <w:pPr>
        <w:ind/>
        <w:jc w:val="center"/>
        <w:outlineLvl w:val="2"/>
        <w:rPr>
          <w:sz w:val="28"/>
        </w:rPr>
      </w:pPr>
    </w:p>
    <w:p w14:paraId="A7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«ОБРАЗОВАНИЕ»</w:t>
      </w:r>
    </w:p>
    <w:p w14:paraId="A80A0000">
      <w:pPr>
        <w:ind/>
        <w:jc w:val="center"/>
        <w:outlineLvl w:val="2"/>
        <w:rPr>
          <w:sz w:val="28"/>
        </w:rPr>
      </w:pPr>
    </w:p>
    <w:p w14:paraId="A9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«Образование» предусмотрены бюджетные ассигнования в 2024 го</w:t>
      </w:r>
      <w:r>
        <w:rPr>
          <w:sz w:val="28"/>
        </w:rPr>
        <w:t>ду в сумме 20,0 тыс. рублей.</w:t>
      </w:r>
    </w:p>
    <w:p w14:paraId="AA0A0000">
      <w:pPr>
        <w:ind w:firstLine="709" w:left="0"/>
        <w:jc w:val="center"/>
        <w:rPr>
          <w:i w:val="1"/>
          <w:sz w:val="28"/>
        </w:rPr>
      </w:pPr>
      <w:r>
        <w:rPr>
          <w:i w:val="1"/>
          <w:sz w:val="28"/>
        </w:rPr>
        <w:t>Подраздел «Профессиональная подготовка, переподготовка и повышение квалификации»</w:t>
      </w:r>
    </w:p>
    <w:p w14:paraId="AB0A0000">
      <w:pPr>
        <w:ind w:firstLine="709" w:left="0"/>
        <w:jc w:val="both"/>
        <w:rPr>
          <w:sz w:val="28"/>
        </w:rPr>
      </w:pPr>
      <w:r>
        <w:rPr>
          <w:sz w:val="28"/>
        </w:rPr>
        <w:t>Предусмотрены бюджетные ассигнования на реализацию развития системы подготовки кадров для  муниципальной службы, дополнительного профессионального</w:t>
      </w:r>
      <w:r>
        <w:rPr>
          <w:sz w:val="28"/>
        </w:rPr>
        <w:t xml:space="preserve"> образования  муниципальных служащих в рамках подпрограммы «Развитие муниципальной службы» муниципальной программы «Муниципальная политика».</w:t>
      </w:r>
    </w:p>
    <w:p w14:paraId="AC0A0000">
      <w:pPr>
        <w:ind w:firstLine="709" w:left="0"/>
        <w:jc w:val="both"/>
        <w:rPr>
          <w:sz w:val="28"/>
        </w:rPr>
      </w:pPr>
    </w:p>
    <w:p w14:paraId="AD0A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РАЗДЕЛ  «КУЛЬТУРА, КИНЕМАТОГРАФИЯ»</w:t>
      </w:r>
    </w:p>
    <w:p w14:paraId="AE0A0000">
      <w:pPr>
        <w:ind w:firstLine="709" w:left="0"/>
        <w:jc w:val="center"/>
        <w:rPr>
          <w:b w:val="1"/>
          <w:sz w:val="28"/>
        </w:rPr>
      </w:pPr>
    </w:p>
    <w:p w14:paraId="AF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«Культура, кинематография» предусмотрены бюджет</w:t>
      </w:r>
      <w:r>
        <w:rPr>
          <w:sz w:val="28"/>
        </w:rPr>
        <w:t>ные ассигнования в 2024 году в сумме 14 143,1 тыс. рублей, в 2025 году в сумме 14 703,6 тыс. рублей и в 2026 году в сумме 13 050,8 тыс. рублей.</w:t>
      </w:r>
    </w:p>
    <w:p w14:paraId="B00A0000">
      <w:pPr>
        <w:ind w:firstLine="709" w:left="0"/>
        <w:jc w:val="center"/>
        <w:rPr>
          <w:sz w:val="28"/>
        </w:rPr>
      </w:pPr>
      <w:r>
        <w:rPr>
          <w:sz w:val="28"/>
        </w:rPr>
        <w:t>Подраздел «Культура»</w:t>
      </w:r>
    </w:p>
    <w:p w14:paraId="B10A0000">
      <w:pPr>
        <w:ind w:firstLine="709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Расходы по подразделу будут направлены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>:</w:t>
      </w:r>
    </w:p>
    <w:p w14:paraId="B2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Финансовое обеспечение </w:t>
      </w:r>
      <w:r>
        <w:rPr>
          <w:sz w:val="28"/>
        </w:rPr>
        <w:t>выполнения муниципального</w:t>
      </w:r>
      <w:r>
        <w:rPr>
          <w:sz w:val="28"/>
        </w:rPr>
        <w:t xml:space="preserve"> задания учреждения культуры централизованной клубной системы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(субсидии бюджетным учреждениям на выполнение муниципального задания) в 2024 году в сумме 14 43,1 тыс. рублей, в 2025 году в сумме 14 703,6 тыс. рублей и в </w:t>
      </w:r>
      <w:r>
        <w:rPr>
          <w:sz w:val="28"/>
        </w:rPr>
        <w:t>2026 году в сумме 13 050,8 тыс. рублей.</w:t>
      </w:r>
    </w:p>
    <w:p w14:paraId="B30A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учреждению культуры запланированы в объеме обеспечения первоочередных социально значимых расходов. Обеспечено увеличение заработной платы работникам бюджетной сферы в связи с увеличением минимального </w:t>
      </w:r>
      <w:r>
        <w:rPr>
          <w:rFonts w:ascii="Times New Roman" w:hAnsi="Times New Roman"/>
          <w:sz w:val="28"/>
        </w:rPr>
        <w:t xml:space="preserve">размера </w:t>
      </w:r>
      <w:r>
        <w:rPr>
          <w:rFonts w:ascii="Times New Roman" w:hAnsi="Times New Roman"/>
          <w:sz w:val="28"/>
        </w:rPr>
        <w:t>оплаты труда</w:t>
      </w:r>
      <w:r>
        <w:rPr>
          <w:rFonts w:ascii="Times New Roman" w:hAnsi="Times New Roman"/>
          <w:sz w:val="28"/>
        </w:rPr>
        <w:t xml:space="preserve"> с 1 января 2024 г. до 19 242 рублей и необходимостью доведения уровня заработной платы работников учреждения культуры до средней заработной платы по экономике Ростовской области. Обеспечение расходов на коммунальные услуги, на связь, на уплату</w:t>
      </w:r>
      <w:r>
        <w:rPr>
          <w:rFonts w:ascii="Times New Roman" w:hAnsi="Times New Roman"/>
          <w:sz w:val="28"/>
        </w:rPr>
        <w:t xml:space="preserve"> налогов.</w:t>
      </w:r>
    </w:p>
    <w:p w14:paraId="B40A0000">
      <w:pPr>
        <w:ind/>
        <w:jc w:val="center"/>
        <w:outlineLvl w:val="2"/>
        <w:rPr>
          <w:b w:val="1"/>
          <w:sz w:val="28"/>
        </w:rPr>
      </w:pPr>
    </w:p>
    <w:p w14:paraId="B5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</w:t>
      </w:r>
      <w:r>
        <w:rPr>
          <w:b w:val="1"/>
        </w:rPr>
        <w:t>СОЦИАЛЬНАЯ ПОЛИТИКА</w:t>
      </w:r>
      <w:r>
        <w:rPr>
          <w:b w:val="1"/>
          <w:sz w:val="28"/>
        </w:rPr>
        <w:t>»</w:t>
      </w:r>
    </w:p>
    <w:p w14:paraId="B60A0000">
      <w:pPr>
        <w:ind w:firstLine="709" w:left="0"/>
        <w:jc w:val="both"/>
        <w:outlineLvl w:val="0"/>
        <w:rPr>
          <w:sz w:val="28"/>
        </w:rPr>
      </w:pPr>
    </w:p>
    <w:p w14:paraId="B7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«Социальная политика» предусмотрены бюджетные ассигнования в 2024 в сумме 177,8 тыс. рублей в 2025 году 196,7 тыс. рублей, в 2026 году в сумме 216,4 тыс. рублей.</w:t>
      </w:r>
    </w:p>
    <w:p w14:paraId="B80A0000">
      <w:pPr>
        <w:ind w:firstLine="851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 xml:space="preserve">Подраздел «Пенсионное </w:t>
      </w:r>
      <w:r>
        <w:rPr>
          <w:i w:val="1"/>
          <w:sz w:val="28"/>
        </w:rPr>
        <w:t>обеспечение»</w:t>
      </w:r>
    </w:p>
    <w:p w14:paraId="B9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Запланированы 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BA0A0000">
      <w:pPr>
        <w:ind/>
        <w:jc w:val="center"/>
        <w:outlineLvl w:val="2"/>
        <w:rPr>
          <w:b w:val="1"/>
          <w:sz w:val="28"/>
        </w:rPr>
      </w:pPr>
    </w:p>
    <w:p w14:paraId="BB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«ФИ</w:t>
      </w:r>
      <w:r>
        <w:rPr>
          <w:b w:val="1"/>
          <w:sz w:val="28"/>
        </w:rPr>
        <w:t>ЗИЧЕСКАЯ КУЛЬТУРА И СПОРТ»</w:t>
      </w:r>
    </w:p>
    <w:p w14:paraId="BC0A0000">
      <w:pPr>
        <w:widowControl w:val="0"/>
        <w:tabs>
          <w:tab w:leader="none" w:pos="90" w:val="left"/>
          <w:tab w:leader="none" w:pos="5970" w:val="center"/>
          <w:tab w:leader="none" w:pos="6532" w:val="center"/>
          <w:tab w:leader="none" w:pos="8670" w:val="right"/>
          <w:tab w:leader="none" w:pos="10545" w:val="right"/>
        </w:tabs>
        <w:ind/>
        <w:rPr>
          <w:b w:val="1"/>
          <w:sz w:val="28"/>
        </w:rPr>
      </w:pPr>
    </w:p>
    <w:p w14:paraId="BD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«Физическая культура и спорт» предусмотрены бюджетные ассигнования в 2024-2025 годах в сумме 10,0 тыс. рублей ежегодно.</w:t>
      </w:r>
    </w:p>
    <w:p w14:paraId="BE0A0000">
      <w:pPr>
        <w:ind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 «Другие вопросы в области физической культуры и спорта»</w:t>
      </w:r>
    </w:p>
    <w:p w14:paraId="BF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запланирова</w:t>
      </w:r>
      <w:r>
        <w:rPr>
          <w:sz w:val="28"/>
        </w:rPr>
        <w:t>ны расходы:</w:t>
      </w:r>
    </w:p>
    <w:p w14:paraId="C0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-на физическое воспитание,  обеспечение организации и проведения физкультурных мероприятий и спортивных мероприятий в рамках муниципальной программы «Развитие физической культуры и массового спорта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(приобр</w:t>
      </w:r>
      <w:r>
        <w:rPr>
          <w:sz w:val="28"/>
        </w:rPr>
        <w:t>етение спортивного инвентаря).</w:t>
      </w:r>
    </w:p>
    <w:p w14:paraId="C10A0000">
      <w:pPr>
        <w:ind w:firstLine="851" w:left="0"/>
        <w:jc w:val="both"/>
        <w:outlineLvl w:val="0"/>
        <w:rPr>
          <w:sz w:val="28"/>
        </w:rPr>
      </w:pPr>
    </w:p>
    <w:p w14:paraId="C20A0000">
      <w:pPr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       Билая М.Н. </w:t>
      </w:r>
    </w:p>
    <w:p w14:paraId="C30A0000">
      <w:pPr>
        <w:rPr>
          <w:sz w:val="28"/>
        </w:rPr>
      </w:pPr>
    </w:p>
    <w:tbl>
      <w:tblPr>
        <w:tblStyle w:val="Style_4"/>
        <w:tblInd w:type="dxa" w:w="93"/>
        <w:tblLayout w:type="fixed"/>
      </w:tblPr>
      <w:tblGrid>
        <w:gridCol w:w="4551"/>
        <w:gridCol w:w="426"/>
        <w:gridCol w:w="1275"/>
        <w:gridCol w:w="139"/>
        <w:gridCol w:w="1562"/>
        <w:gridCol w:w="1560"/>
      </w:tblGrid>
      <w:tr>
        <w:trPr>
          <w:trHeight w:hRule="atLeast" w:val="645"/>
        </w:trPr>
        <w:tc>
          <w:tcPr>
            <w:tcW w:type="dxa" w:w="455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40A0000">
            <w:bookmarkStart w:id="1" w:name="RANGE!A1:D35"/>
            <w:bookmarkEnd w:id="1"/>
          </w:p>
        </w:tc>
        <w:tc>
          <w:tcPr>
            <w:tcW w:type="dxa" w:w="184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50A0000"/>
        </w:tc>
        <w:tc>
          <w:tcPr>
            <w:tcW w:type="dxa" w:w="31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60A0000">
            <w:pPr>
              <w:ind/>
              <w:jc w:val="right"/>
            </w:pPr>
            <w:r>
              <w:t xml:space="preserve">Приложение 1 </w:t>
            </w:r>
            <w:r>
              <w:br/>
            </w:r>
            <w:r>
              <w:t>к пояснительной записке</w:t>
            </w:r>
          </w:p>
        </w:tc>
      </w:tr>
      <w:tr>
        <w:trPr>
          <w:trHeight w:hRule="atLeast" w:val="315"/>
        </w:trPr>
        <w:tc>
          <w:tcPr>
            <w:tcW w:type="dxa" w:w="951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C7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Бюджет </w:t>
            </w:r>
            <w:r>
              <w:rPr>
                <w:sz w:val="26"/>
              </w:rPr>
              <w:t>Кринично-Лугского</w:t>
            </w:r>
            <w:r>
              <w:rPr>
                <w:sz w:val="26"/>
              </w:rPr>
              <w:t xml:space="preserve"> сельского поселения Куйбышевского района </w:t>
            </w:r>
          </w:p>
          <w:p w14:paraId="C80A0000">
            <w:pPr>
              <w:ind/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на 2024 - 2026 годы</w:t>
            </w:r>
          </w:p>
        </w:tc>
      </w:tr>
      <w:tr>
        <w:trPr>
          <w:trHeight w:hRule="atLeast" w:val="270"/>
        </w:trPr>
        <w:tc>
          <w:tcPr>
            <w:tcW w:type="dxa" w:w="49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90A0000">
            <w:pPr>
              <w:rPr>
                <w:sz w:val="20"/>
                <w:highlight w:val="yellow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A0A0000">
            <w:pPr>
              <w:ind/>
              <w:jc w:val="right"/>
              <w:rPr>
                <w:sz w:val="20"/>
                <w:highlight w:val="yellow"/>
              </w:rPr>
            </w:pP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B0A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C0A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>
        <w:trPr>
          <w:trHeight w:hRule="atLeast" w:val="322"/>
        </w:trPr>
        <w:tc>
          <w:tcPr>
            <w:tcW w:type="dxa" w:w="497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A0000">
            <w:pPr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A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7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A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A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276"/>
        </w:trPr>
        <w:tc>
          <w:tcPr>
            <w:tcW w:type="dxa" w:w="497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73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A0000">
            <w:pPr>
              <w:rPr>
                <w:b w:val="1"/>
              </w:rPr>
            </w:pPr>
            <w:r>
              <w:rPr>
                <w:b w:val="1"/>
                <w:sz w:val="22"/>
              </w:rPr>
              <w:t>ДОХОДЫ, всего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28 387,7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29 668,6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28 917,5</w:t>
            </w:r>
          </w:p>
        </w:tc>
      </w:tr>
      <w:tr>
        <w:trPr>
          <w:trHeight w:hRule="atLeast" w:val="28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A0000">
            <w:r>
              <w:rPr>
                <w:sz w:val="22"/>
              </w:rPr>
              <w:t xml:space="preserve">  в том числе: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60A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70A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80A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A0000">
            <w:pPr>
              <w:rPr>
                <w:b w:val="1"/>
              </w:rPr>
            </w:pPr>
            <w:r>
              <w:rPr>
                <w:b w:val="1"/>
                <w:sz w:val="22"/>
              </w:rPr>
              <w:t>НАЛОГОВЫЕ И НЕНАЛОГОВЫЕ ДОХОДЫ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14 302,3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19 905,8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20 056,8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A0000">
            <w:r>
              <w:t>Налоги на прибыль, доходы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A0000">
            <w:pPr>
              <w:ind/>
              <w:jc w:val="right"/>
            </w:pPr>
            <w:r>
              <w:t>3 338,6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A0000">
            <w:pPr>
              <w:ind/>
              <w:jc w:val="right"/>
            </w:pPr>
            <w:r>
              <w:t>3 449,9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A0000">
            <w:pPr>
              <w:ind/>
              <w:jc w:val="right"/>
            </w:pPr>
            <w:r>
              <w:t>3 583,5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A0000">
            <w:r>
              <w:t xml:space="preserve">Налоги на </w:t>
            </w:r>
            <w:r>
              <w:t>совокупный доход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A0000">
            <w:pPr>
              <w:ind/>
              <w:jc w:val="right"/>
            </w:pPr>
            <w:r>
              <w:t>3 479,0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ind/>
              <w:jc w:val="right"/>
            </w:pPr>
            <w:r>
              <w:t>3 479,0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A0000">
            <w:pPr>
              <w:ind/>
              <w:jc w:val="right"/>
            </w:pPr>
            <w:r>
              <w:t>3 479,0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A0000">
            <w:r>
              <w:t>Налоги на имущество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A0000">
            <w:pPr>
              <w:ind/>
              <w:jc w:val="right"/>
            </w:pPr>
            <w:r>
              <w:t>7 023,4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A0000">
            <w:pPr>
              <w:ind/>
              <w:jc w:val="right"/>
            </w:pPr>
            <w:r>
              <w:t>12 542,5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A0000">
            <w:pPr>
              <w:ind/>
              <w:jc w:val="right"/>
            </w:pPr>
            <w:r>
              <w:t>12 542,5</w:t>
            </w:r>
          </w:p>
        </w:tc>
      </w:tr>
      <w:tr>
        <w:trPr>
          <w:trHeight w:hRule="atLeast" w:val="19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A0000">
            <w:r>
              <w:t>Государственная пошлина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A0000">
            <w:pPr>
              <w:ind/>
              <w:jc w:val="right"/>
            </w:pPr>
            <w:r>
              <w:t>10,2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A0000">
            <w:pPr>
              <w:ind/>
              <w:jc w:val="right"/>
            </w:pPr>
            <w:r>
              <w:t>10,6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A0000">
            <w:pPr>
              <w:ind/>
              <w:jc w:val="right"/>
            </w:pPr>
            <w:r>
              <w:t>11,0</w:t>
            </w:r>
          </w:p>
        </w:tc>
      </w:tr>
      <w:tr>
        <w:trPr>
          <w:trHeight w:hRule="atLeast" w:val="64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A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A0000">
            <w:pPr>
              <w:ind/>
              <w:jc w:val="right"/>
            </w:pPr>
            <w:r>
              <w:t>406,7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A0000">
            <w:pPr>
              <w:ind/>
              <w:jc w:val="right"/>
            </w:pPr>
            <w:r>
              <w:t>422,9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A0000">
            <w:pPr>
              <w:ind/>
              <w:jc w:val="right"/>
            </w:pPr>
            <w:r>
              <w:t>439,8</w:t>
            </w:r>
          </w:p>
        </w:tc>
      </w:tr>
      <w:tr>
        <w:trPr>
          <w:trHeight w:hRule="atLeast" w:val="42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A0000">
            <w:r>
              <w:t xml:space="preserve">Доходы от </w:t>
            </w:r>
            <w:r>
              <w:t>оказания платных услуг (работ) и компенсации затрат государства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A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60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A0000">
            <w:r>
              <w:t>Доходы от продажи материальных и нематериальных активов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A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A0000">
            <w:r>
              <w:t>Штрафы, санкции, возмещение ущерба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A0000">
            <w:pPr>
              <w:ind/>
              <w:jc w:val="right"/>
            </w:pPr>
            <w:r>
              <w:t>0,9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A0000">
            <w:pPr>
              <w:ind/>
              <w:jc w:val="right"/>
            </w:pPr>
            <w:r>
              <w:t>0,9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A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A0000">
            <w:r>
              <w:t>Прочие неналоговые доходы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A0000">
            <w:pPr>
              <w:ind/>
              <w:jc w:val="right"/>
            </w:pPr>
            <w:r>
              <w:t>43,5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B0000"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B0000">
            <w:pPr>
              <w:ind/>
              <w:jc w:val="right"/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B0000">
            <w:pPr>
              <w:ind/>
              <w:jc w:val="right"/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B0000">
            <w:pPr>
              <w:ind/>
              <w:jc w:val="right"/>
            </w:pPr>
          </w:p>
        </w:tc>
      </w:tr>
      <w:tr>
        <w:trPr>
          <w:trHeight w:hRule="atLeast" w:val="33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B0000">
            <w:pPr>
              <w:rPr>
                <w:b w:val="1"/>
              </w:rPr>
            </w:pPr>
            <w:r>
              <w:rPr>
                <w:b w:val="1"/>
                <w:sz w:val="22"/>
              </w:rPr>
              <w:t xml:space="preserve">БЕЗВОЗМЕЗДНЫЕ </w:t>
            </w:r>
            <w:r>
              <w:rPr>
                <w:b w:val="1"/>
                <w:sz w:val="22"/>
              </w:rPr>
              <w:t>ПОСТУПЛЕНИЯ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14 085,4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9 762,8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8 860,7</w:t>
            </w:r>
          </w:p>
        </w:tc>
      </w:tr>
      <w:tr>
        <w:trPr>
          <w:trHeight w:hRule="atLeast" w:val="76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B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B0000">
            <w:pPr>
              <w:ind/>
              <w:jc w:val="right"/>
              <w:rPr>
                <w:b w:val="1"/>
              </w:rPr>
            </w:pPr>
          </w:p>
        </w:tc>
      </w:tr>
      <w:tr>
        <w:trPr>
          <w:trHeight w:hRule="atLeast" w:val="349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B0000">
            <w:pPr>
              <w:rPr>
                <w:b w:val="1"/>
              </w:rPr>
            </w:pPr>
            <w:r>
              <w:rPr>
                <w:b w:val="1"/>
                <w:sz w:val="22"/>
              </w:rPr>
              <w:t>РАСХОДЫ, всего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28 387,7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29 668,6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28 917,5</w:t>
            </w:r>
          </w:p>
        </w:tc>
      </w:tr>
      <w:tr>
        <w:trPr>
          <w:trHeight w:hRule="atLeast" w:val="27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B0000">
            <w:r>
              <w:rPr>
                <w:sz w:val="22"/>
              </w:rPr>
              <w:t xml:space="preserve">  в том числе: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20B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30B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B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B0000">
            <w:r>
              <w:t>Общегосударственные вопросы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B0000">
            <w:pPr>
              <w:ind/>
              <w:jc w:val="right"/>
            </w:pPr>
            <w:r>
              <w:t>10 887,6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B0000">
            <w:pPr>
              <w:ind/>
              <w:jc w:val="right"/>
            </w:pPr>
            <w:r>
              <w:t>12 486,4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B0000">
            <w:pPr>
              <w:ind/>
              <w:jc w:val="right"/>
            </w:pPr>
            <w:r>
              <w:t>14 027,9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B0000">
            <w:pPr>
              <w:ind w:hanging="91" w:left="91"/>
            </w:pPr>
            <w:r>
              <w:t xml:space="preserve">из них: условно утвержденные расходы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B0000">
            <w:pPr>
              <w:ind/>
              <w:jc w:val="right"/>
            </w:pPr>
            <w:r>
              <w:t>-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B0000">
            <w:pPr>
              <w:ind/>
              <w:jc w:val="right"/>
            </w:pPr>
            <w:r>
              <w:t>732,0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B0000">
            <w:pPr>
              <w:ind/>
              <w:jc w:val="right"/>
            </w:pPr>
            <w:r>
              <w:t>1 424,7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B0000">
            <w:r>
              <w:t>Национальная оборона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B0000">
            <w:pPr>
              <w:ind/>
              <w:jc w:val="right"/>
            </w:pPr>
            <w:r>
              <w:t>352,6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B0000">
            <w:pPr>
              <w:ind/>
              <w:jc w:val="right"/>
            </w:pPr>
            <w:r>
              <w:t>387,4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B0000">
            <w:pPr>
              <w:ind/>
              <w:jc w:val="right"/>
            </w:pPr>
            <w:r>
              <w:t>422,8</w:t>
            </w:r>
          </w:p>
        </w:tc>
      </w:tr>
      <w:tr>
        <w:trPr>
          <w:trHeight w:hRule="atLeast" w:val="587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B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B0000">
            <w:pPr>
              <w:ind/>
              <w:jc w:val="right"/>
            </w:pPr>
            <w:r>
              <w:t>30,0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B0000">
            <w:pPr>
              <w:ind/>
              <w:jc w:val="right"/>
            </w:pPr>
            <w:r>
              <w:t>30,0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B0000">
            <w:r>
              <w:t>Национальная экономика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B0000">
            <w:r>
              <w:t>Жилищно-коммунальное хозяйство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B0000">
            <w:pPr>
              <w:ind/>
              <w:jc w:val="right"/>
            </w:pPr>
            <w:r>
              <w:t>2 709,9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B0000">
            <w:pPr>
              <w:ind/>
              <w:jc w:val="right"/>
            </w:pPr>
            <w:r>
              <w:t>1 797,8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B0000">
            <w:pPr>
              <w:ind/>
              <w:jc w:val="right"/>
            </w:pPr>
            <w:r>
              <w:t>1 199,6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B0000">
            <w:r>
              <w:t>Охрана окружающей среды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B0000">
            <w:pPr>
              <w:ind/>
              <w:jc w:val="right"/>
            </w:pPr>
            <w:r>
              <w:t>46,7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B0000">
            <w:pPr>
              <w:ind/>
              <w:jc w:val="right"/>
            </w:pPr>
            <w:r>
              <w:t>46,7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B0000">
            <w:r>
              <w:t>Образование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B0000">
            <w:pPr>
              <w:ind/>
              <w:jc w:val="right"/>
            </w:pPr>
            <w:r>
              <w:t>20,0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B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B0000">
            <w:r>
              <w:t xml:space="preserve">Культура, </w:t>
            </w:r>
            <w:r>
              <w:t>кинематография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B0000">
            <w:pPr>
              <w:ind/>
              <w:jc w:val="right"/>
            </w:pPr>
            <w:r>
              <w:t>14 143,1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B0000">
            <w:pPr>
              <w:ind/>
              <w:jc w:val="right"/>
            </w:pPr>
            <w:r>
              <w:t>14 703,6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B0000">
            <w:pPr>
              <w:ind/>
              <w:jc w:val="right"/>
            </w:pPr>
            <w:r>
              <w:t>13 050,8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B0000">
            <w:r>
              <w:t>Социальная политика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B0000">
            <w:pPr>
              <w:ind/>
              <w:jc w:val="right"/>
            </w:pPr>
            <w:r>
              <w:t>177,8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B0000">
            <w:pPr>
              <w:ind/>
              <w:jc w:val="right"/>
            </w:pPr>
            <w:r>
              <w:t>196,7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B0000">
            <w:pPr>
              <w:ind/>
              <w:jc w:val="right"/>
            </w:pPr>
            <w:r>
              <w:t>216,4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B0000">
            <w:r>
              <w:t>Физическая культура и спорт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23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B0000">
            <w:pPr>
              <w:rPr>
                <w:b w:val="1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B0000">
            <w:pPr>
              <w:ind/>
              <w:jc w:val="right"/>
              <w:rPr>
                <w:b w:val="1"/>
              </w:rPr>
            </w:pPr>
          </w:p>
        </w:tc>
      </w:tr>
      <w:tr>
        <w:trPr>
          <w:trHeight w:hRule="atLeast" w:val="286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B0000">
            <w:pPr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(-), </w:t>
            </w:r>
            <w:r>
              <w:rPr>
                <w:b w:val="1"/>
                <w:sz w:val="22"/>
              </w:rPr>
              <w:t>ПРОЦИФИТ (+)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6252"/>
            <w:gridSpan w:val="3"/>
            <w:tcBorders>
              <w:top w:color="000000" w:sz="4" w:val="single"/>
            </w:tcBorders>
            <w:vAlign w:val="center"/>
          </w:tcPr>
          <w:p w14:paraId="490B0000">
            <w:pPr>
              <w:rPr>
                <w:b w:val="1"/>
              </w:rPr>
            </w:pPr>
            <w:r>
              <w:rPr>
                <w:sz w:val="26"/>
              </w:rPr>
              <w:t>Заведующий сектором экономики и финансов</w:t>
            </w:r>
          </w:p>
        </w:tc>
        <w:tc>
          <w:tcPr>
            <w:tcW w:type="dxa" w:w="1701"/>
            <w:gridSpan w:val="2"/>
            <w:tcBorders>
              <w:top w:color="000000" w:sz="4" w:val="single"/>
            </w:tcBorders>
            <w:vAlign w:val="center"/>
          </w:tcPr>
          <w:p w14:paraId="4A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560"/>
            <w:tcBorders>
              <w:top w:color="000000" w:sz="4" w:val="single"/>
            </w:tcBorders>
            <w:vAlign w:val="center"/>
          </w:tcPr>
          <w:p w14:paraId="4B0B0000">
            <w:pPr>
              <w:ind/>
              <w:jc w:val="right"/>
              <w:rPr>
                <w:b w:val="1"/>
              </w:rPr>
            </w:pPr>
            <w:r>
              <w:rPr>
                <w:sz w:val="26"/>
              </w:rPr>
              <w:t>М.Н. Билая</w:t>
            </w:r>
          </w:p>
        </w:tc>
      </w:tr>
    </w:tbl>
    <w:p w14:paraId="4C0B0000">
      <w:pPr>
        <w:pStyle w:val="Style_6"/>
        <w:spacing w:after="0"/>
        <w:ind w:firstLine="709" w:left="0"/>
        <w:jc w:val="center"/>
        <w:rPr>
          <w:sz w:val="26"/>
        </w:rPr>
      </w:pPr>
    </w:p>
    <w:p w14:paraId="4D0B0000">
      <w:pPr>
        <w:ind/>
        <w:jc w:val="right"/>
        <w:rPr>
          <w:sz w:val="28"/>
        </w:rPr>
      </w:pPr>
      <w:r>
        <w:rPr>
          <w:sz w:val="28"/>
        </w:rPr>
        <w:t>Приложение 2</w:t>
      </w:r>
    </w:p>
    <w:p w14:paraId="4E0B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4F0B0000">
      <w:pPr>
        <w:ind/>
        <w:jc w:val="right"/>
        <w:rPr>
          <w:sz w:val="22"/>
        </w:rPr>
      </w:pPr>
    </w:p>
    <w:p w14:paraId="500B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Расчет</w:t>
      </w:r>
    </w:p>
    <w:p w14:paraId="510B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налога на доходы физических лиц на 2024 год и плановый период 2025 и 2026 годов</w:t>
      </w:r>
    </w:p>
    <w:p w14:paraId="520B0000">
      <w:pPr>
        <w:ind/>
        <w:jc w:val="center"/>
        <w:rPr>
          <w:sz w:val="28"/>
        </w:rPr>
      </w:pPr>
    </w:p>
    <w:p w14:paraId="530B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4"/>
        <w:gridCol w:w="4798"/>
        <w:gridCol w:w="1416"/>
        <w:gridCol w:w="1417"/>
        <w:gridCol w:w="1266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B0000">
            <w:pPr>
              <w:rPr>
                <w:sz w:val="28"/>
              </w:rPr>
            </w:pPr>
            <w:r>
              <w:rPr>
                <w:sz w:val="28"/>
              </w:rPr>
              <w:t>Оценка  суммы доходов подлежащих налогообложению по данным прогноза социально - экономического развития Куйбышевского района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428031,70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442301,40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459426,4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B0000">
            <w:pPr>
              <w:rPr>
                <w:sz w:val="28"/>
              </w:rPr>
            </w:pPr>
            <w:r>
              <w:rPr>
                <w:sz w:val="28"/>
              </w:rPr>
              <w:t xml:space="preserve">Коэффициент, учитывающий изменения </w:t>
            </w:r>
            <w:r>
              <w:rPr>
                <w:sz w:val="28"/>
              </w:rPr>
              <w:t>законодательства Российской Федерации о налогах и сборах  в части величины доходов, не подлежащих налогообложению, стандартных, социальных и имущественных налоговых вычетов по налогу на доходы физических лиц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B0000">
            <w:pPr>
              <w:rPr>
                <w:sz w:val="28"/>
              </w:rPr>
            </w:pPr>
            <w:r>
              <w:rPr>
                <w:sz w:val="28"/>
              </w:rPr>
              <w:t>Средняя репрезентативная</w:t>
            </w:r>
            <w:r>
              <w:rPr>
                <w:sz w:val="28"/>
              </w:rPr>
              <w:t xml:space="preserve"> налоговая ставка,</w:t>
            </w:r>
          </w:p>
          <w:p w14:paraId="650B0000">
            <w:pPr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  <w:p w14:paraId="660B0000">
            <w:pPr>
              <w:rPr>
                <w:sz w:val="28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13,0000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13,0000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</w:t>
            </w:r>
          </w:p>
          <w:p w14:paraId="6C0B0000">
            <w:pPr>
              <w:rPr>
                <w:sz w:val="28"/>
              </w:rPr>
            </w:pPr>
            <w:r>
              <w:rPr>
                <w:sz w:val="28"/>
              </w:rPr>
              <w:t>(п.1хп.2хп.3)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55644,12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57499,2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59725,4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B0000">
            <w:pPr>
              <w:rPr>
                <w:sz w:val="28"/>
              </w:rPr>
            </w:pPr>
            <w:r>
              <w:rPr>
                <w:sz w:val="28"/>
              </w:rPr>
              <w:t>Норматив отчислений в бюджет поселения</w:t>
            </w:r>
          </w:p>
          <w:p w14:paraId="720B0000">
            <w:pPr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 бюджета поселения</w:t>
            </w:r>
          </w:p>
          <w:p w14:paraId="780B0000">
            <w:pPr>
              <w:rPr>
                <w:sz w:val="28"/>
              </w:rPr>
            </w:pPr>
            <w:r>
              <w:rPr>
                <w:sz w:val="28"/>
              </w:rPr>
              <w:t>(п.4хп.5)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B0000">
            <w:pPr>
              <w:ind/>
              <w:jc w:val="center"/>
              <w:rPr>
                <w:sz w:val="28"/>
              </w:rPr>
            </w:pPr>
          </w:p>
          <w:p w14:paraId="7A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3 338,6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B0000">
            <w:pPr>
              <w:ind/>
              <w:jc w:val="center"/>
              <w:rPr>
                <w:sz w:val="28"/>
              </w:rPr>
            </w:pPr>
          </w:p>
          <w:p w14:paraId="7C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3 449,9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B0000">
            <w:pPr>
              <w:ind/>
              <w:jc w:val="center"/>
              <w:rPr>
                <w:sz w:val="28"/>
              </w:rPr>
            </w:pPr>
          </w:p>
          <w:p w14:paraId="7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z w:val="28"/>
              </w:rPr>
              <w:t>583,5</w:t>
            </w:r>
          </w:p>
        </w:tc>
      </w:tr>
    </w:tbl>
    <w:p w14:paraId="7F0B0000">
      <w:pPr>
        <w:pStyle w:val="Style_6"/>
        <w:spacing w:after="0"/>
        <w:ind w:firstLine="709" w:left="0"/>
        <w:jc w:val="center"/>
        <w:rPr>
          <w:sz w:val="26"/>
        </w:rPr>
      </w:pPr>
    </w:p>
    <w:p w14:paraId="800B0000">
      <w:pPr>
        <w:pStyle w:val="Style_6"/>
        <w:spacing w:after="0"/>
        <w:ind w:firstLine="709" w:left="0"/>
        <w:jc w:val="center"/>
        <w:rPr>
          <w:sz w:val="26"/>
        </w:rPr>
      </w:pPr>
    </w:p>
    <w:p w14:paraId="810B0000">
      <w:pPr>
        <w:pStyle w:val="Style_6"/>
        <w:spacing w:after="0"/>
        <w:ind w:firstLine="709" w:left="0"/>
        <w:jc w:val="center"/>
        <w:rPr>
          <w:sz w:val="26"/>
        </w:rPr>
      </w:pPr>
    </w:p>
    <w:p w14:paraId="820B0000">
      <w:pPr>
        <w:pStyle w:val="Style_6"/>
        <w:spacing w:after="0"/>
        <w:ind w:firstLine="709" w:left="0"/>
        <w:jc w:val="center"/>
        <w:rPr>
          <w:sz w:val="26"/>
        </w:rPr>
      </w:pPr>
    </w:p>
    <w:p w14:paraId="830B0000">
      <w:pPr>
        <w:pStyle w:val="Style_6"/>
        <w:spacing w:after="0"/>
        <w:ind w:firstLine="709" w:left="0"/>
        <w:jc w:val="center"/>
        <w:rPr>
          <w:sz w:val="26"/>
        </w:rPr>
      </w:pPr>
    </w:p>
    <w:p w14:paraId="840B0000">
      <w:pPr>
        <w:pStyle w:val="Style_6"/>
        <w:spacing w:after="0"/>
        <w:ind w:firstLine="709" w:left="0"/>
        <w:jc w:val="center"/>
        <w:rPr>
          <w:sz w:val="26"/>
        </w:rPr>
      </w:pPr>
    </w:p>
    <w:p w14:paraId="850B0000">
      <w:pPr>
        <w:pStyle w:val="Style_6"/>
        <w:spacing w:after="0"/>
        <w:ind w:firstLine="709" w:left="0"/>
        <w:jc w:val="center"/>
        <w:rPr>
          <w:sz w:val="26"/>
        </w:rPr>
      </w:pPr>
    </w:p>
    <w:p w14:paraId="860B0000">
      <w:pPr>
        <w:pStyle w:val="Style_6"/>
        <w:spacing w:after="0"/>
        <w:ind w:firstLine="709" w:left="0"/>
        <w:jc w:val="center"/>
        <w:rPr>
          <w:sz w:val="26"/>
        </w:rPr>
      </w:pPr>
    </w:p>
    <w:p w14:paraId="870B0000">
      <w:pPr>
        <w:pStyle w:val="Style_6"/>
        <w:spacing w:after="0"/>
        <w:ind w:firstLine="709" w:left="0"/>
        <w:jc w:val="center"/>
        <w:rPr>
          <w:sz w:val="26"/>
        </w:rPr>
      </w:pPr>
    </w:p>
    <w:p w14:paraId="880B0000">
      <w:pPr>
        <w:pStyle w:val="Style_6"/>
        <w:spacing w:after="0"/>
        <w:ind w:firstLine="709" w:left="0"/>
        <w:jc w:val="center"/>
        <w:rPr>
          <w:sz w:val="26"/>
        </w:rPr>
      </w:pPr>
    </w:p>
    <w:p w14:paraId="890B0000">
      <w:pPr>
        <w:pStyle w:val="Style_6"/>
        <w:spacing w:after="0"/>
        <w:ind w:firstLine="709" w:left="0"/>
        <w:jc w:val="center"/>
        <w:rPr>
          <w:sz w:val="26"/>
        </w:rPr>
      </w:pPr>
    </w:p>
    <w:p w14:paraId="8A0B0000">
      <w:pPr>
        <w:ind/>
        <w:jc w:val="right"/>
        <w:rPr>
          <w:sz w:val="28"/>
        </w:rPr>
      </w:pPr>
      <w:r>
        <w:rPr>
          <w:sz w:val="22"/>
        </w:rPr>
        <w:t xml:space="preserve"> </w:t>
      </w:r>
      <w:r>
        <w:rPr>
          <w:sz w:val="28"/>
        </w:rPr>
        <w:t xml:space="preserve">Приложение 3 </w:t>
      </w:r>
    </w:p>
    <w:p w14:paraId="8B0B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8C0B0000">
      <w:pPr>
        <w:ind/>
        <w:jc w:val="right"/>
        <w:rPr>
          <w:sz w:val="22"/>
        </w:rPr>
      </w:pPr>
    </w:p>
    <w:p w14:paraId="8D0B0000">
      <w:pPr>
        <w:ind/>
        <w:jc w:val="center"/>
        <w:rPr>
          <w:sz w:val="22"/>
        </w:rPr>
      </w:pPr>
    </w:p>
    <w:p w14:paraId="8E0B0000">
      <w:pPr>
        <w:ind/>
        <w:jc w:val="center"/>
        <w:rPr>
          <w:sz w:val="22"/>
        </w:rPr>
      </w:pPr>
    </w:p>
    <w:p w14:paraId="8F0B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Расчет</w:t>
      </w:r>
    </w:p>
    <w:p w14:paraId="900B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единого сельскохозяйственного налога на 2024 год и плановый период 2025 и 2026 годов</w:t>
      </w:r>
    </w:p>
    <w:p w14:paraId="910B0000">
      <w:pPr>
        <w:ind/>
        <w:jc w:val="center"/>
        <w:rPr>
          <w:sz w:val="28"/>
        </w:rPr>
      </w:pPr>
    </w:p>
    <w:p w14:paraId="920B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4"/>
        <w:gridCol w:w="4797"/>
        <w:gridCol w:w="1416"/>
        <w:gridCol w:w="1417"/>
        <w:gridCol w:w="1266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B0000">
            <w:pPr>
              <w:rPr>
                <w:sz w:val="28"/>
              </w:rPr>
            </w:pPr>
            <w:r>
              <w:rPr>
                <w:sz w:val="28"/>
              </w:rPr>
              <w:t xml:space="preserve">Оценка налоговой базы на основании отчета </w:t>
            </w:r>
            <w:r>
              <w:rPr>
                <w:sz w:val="28"/>
              </w:rPr>
              <w:t>МРИ</w:t>
            </w:r>
            <w:r>
              <w:rPr>
                <w:sz w:val="28"/>
              </w:rPr>
              <w:t xml:space="preserve"> ФНС №18 по РО о налоговой базе и структуре </w:t>
            </w:r>
            <w:r>
              <w:rPr>
                <w:sz w:val="28"/>
              </w:rPr>
              <w:t>начислений формы № 5- ЕСХН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131 268,0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131 268,0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B0000">
            <w:r>
              <w:rPr>
                <w:sz w:val="28"/>
              </w:rPr>
              <w:t>131268,0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B0000">
            <w:pPr>
              <w:rPr>
                <w:sz w:val="28"/>
              </w:rPr>
            </w:pPr>
            <w:r>
              <w:rPr>
                <w:sz w:val="28"/>
              </w:rPr>
              <w:t>Средняя репрезентативная налоговая ставка, (в процентах)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6,62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6,62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6,62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B0000">
            <w:pPr>
              <w:rPr>
                <w:sz w:val="28"/>
              </w:rPr>
            </w:pPr>
            <w:r>
              <w:rPr>
                <w:sz w:val="28"/>
              </w:rPr>
              <w:t>Коэффициент, учитывающий изменения законодательства Российской Федерации о налогах и сборах, законодательства Ростовской о</w:t>
            </w:r>
            <w:r>
              <w:rPr>
                <w:sz w:val="28"/>
              </w:rPr>
              <w:t>бласти о налогах и сборах.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</w:t>
            </w:r>
          </w:p>
          <w:p w14:paraId="A90B0000">
            <w:pPr>
              <w:rPr>
                <w:sz w:val="28"/>
              </w:rPr>
            </w:pPr>
            <w:r>
              <w:rPr>
                <w:sz w:val="28"/>
              </w:rPr>
              <w:t>(п.1хп.2хп.3)</w:t>
            </w:r>
          </w:p>
          <w:p w14:paraId="AA0B0000">
            <w:pPr>
              <w:rPr>
                <w:sz w:val="28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8689,9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B0000">
            <w:pPr>
              <w:ind/>
              <w:jc w:val="center"/>
            </w:pPr>
            <w:r>
              <w:rPr>
                <w:sz w:val="28"/>
              </w:rPr>
              <w:t>8689,9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8689,9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B0000">
            <w:pPr>
              <w:rPr>
                <w:sz w:val="28"/>
              </w:rPr>
            </w:pPr>
            <w:r>
              <w:rPr>
                <w:sz w:val="28"/>
              </w:rPr>
              <w:t xml:space="preserve">Норматив отчислений в бюджет поселения </w:t>
            </w:r>
          </w:p>
          <w:p w14:paraId="B00B0000">
            <w:pPr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 бюджета поселения</w:t>
            </w:r>
          </w:p>
          <w:p w14:paraId="B60B0000">
            <w:pPr>
              <w:rPr>
                <w:sz w:val="28"/>
              </w:rPr>
            </w:pPr>
            <w:r>
              <w:rPr>
                <w:sz w:val="28"/>
              </w:rPr>
              <w:t>(п.4хп.5/100)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3 478,6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B0000">
            <w:pPr>
              <w:ind/>
              <w:jc w:val="center"/>
            </w:pPr>
            <w:r>
              <w:rPr>
                <w:sz w:val="28"/>
              </w:rPr>
              <w:t>3 478,6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z w:val="28"/>
              </w:rPr>
              <w:t>478,6</w:t>
            </w:r>
          </w:p>
        </w:tc>
      </w:tr>
    </w:tbl>
    <w:p w14:paraId="BA0B0000">
      <w:pPr>
        <w:ind/>
        <w:jc w:val="center"/>
      </w:pPr>
    </w:p>
    <w:p w14:paraId="BB0B0000">
      <w:pPr>
        <w:pStyle w:val="Style_6"/>
        <w:spacing w:after="0"/>
        <w:ind w:firstLine="709" w:left="0"/>
        <w:jc w:val="center"/>
        <w:rPr>
          <w:sz w:val="26"/>
        </w:rPr>
      </w:pPr>
    </w:p>
    <w:p w14:paraId="BC0B0000">
      <w:pPr>
        <w:pStyle w:val="Style_6"/>
        <w:spacing w:after="0"/>
        <w:ind w:firstLine="709" w:left="0"/>
        <w:jc w:val="center"/>
        <w:rPr>
          <w:sz w:val="26"/>
        </w:rPr>
      </w:pPr>
    </w:p>
    <w:p w14:paraId="BD0B0000">
      <w:pPr>
        <w:pStyle w:val="Style_6"/>
        <w:spacing w:after="0"/>
        <w:ind w:firstLine="709" w:left="0"/>
        <w:jc w:val="center"/>
        <w:rPr>
          <w:sz w:val="26"/>
        </w:rPr>
      </w:pPr>
    </w:p>
    <w:p w14:paraId="BE0B0000">
      <w:pPr>
        <w:pStyle w:val="Style_6"/>
        <w:spacing w:after="0"/>
        <w:ind w:firstLine="709" w:left="0"/>
        <w:jc w:val="center"/>
        <w:rPr>
          <w:sz w:val="26"/>
        </w:rPr>
      </w:pPr>
    </w:p>
    <w:p w14:paraId="BF0B0000">
      <w:pPr>
        <w:pStyle w:val="Style_6"/>
        <w:spacing w:after="0"/>
        <w:ind w:firstLine="709" w:left="0"/>
        <w:jc w:val="center"/>
        <w:rPr>
          <w:sz w:val="26"/>
        </w:rPr>
      </w:pPr>
    </w:p>
    <w:p w14:paraId="C00B0000">
      <w:pPr>
        <w:pStyle w:val="Style_6"/>
        <w:spacing w:after="0"/>
        <w:ind w:firstLine="709" w:left="0"/>
        <w:jc w:val="center"/>
        <w:rPr>
          <w:sz w:val="26"/>
        </w:rPr>
      </w:pPr>
    </w:p>
    <w:p w14:paraId="C10B0000">
      <w:pPr>
        <w:pStyle w:val="Style_6"/>
        <w:spacing w:after="0"/>
        <w:ind w:firstLine="709" w:left="0"/>
        <w:jc w:val="center"/>
        <w:rPr>
          <w:sz w:val="26"/>
        </w:rPr>
      </w:pPr>
    </w:p>
    <w:p w14:paraId="C20B0000">
      <w:pPr>
        <w:pStyle w:val="Style_6"/>
        <w:spacing w:after="0"/>
        <w:ind w:firstLine="709" w:left="0"/>
        <w:jc w:val="center"/>
        <w:rPr>
          <w:sz w:val="26"/>
        </w:rPr>
      </w:pPr>
    </w:p>
    <w:p w14:paraId="C30B0000">
      <w:pPr>
        <w:pStyle w:val="Style_6"/>
        <w:spacing w:after="0"/>
        <w:ind w:firstLine="709" w:left="0"/>
        <w:jc w:val="center"/>
        <w:rPr>
          <w:sz w:val="26"/>
        </w:rPr>
      </w:pPr>
    </w:p>
    <w:p w14:paraId="C40B0000">
      <w:pPr>
        <w:pStyle w:val="Style_6"/>
        <w:spacing w:after="0"/>
        <w:ind w:firstLine="709" w:left="0"/>
        <w:jc w:val="center"/>
        <w:rPr>
          <w:sz w:val="26"/>
        </w:rPr>
      </w:pPr>
    </w:p>
    <w:p w14:paraId="C50B0000">
      <w:pPr>
        <w:pStyle w:val="Style_6"/>
        <w:spacing w:after="0"/>
        <w:ind w:firstLine="709" w:left="0"/>
        <w:jc w:val="center"/>
        <w:rPr>
          <w:sz w:val="26"/>
        </w:rPr>
      </w:pPr>
    </w:p>
    <w:p w14:paraId="C60B0000">
      <w:pPr>
        <w:pStyle w:val="Style_6"/>
        <w:spacing w:after="0"/>
        <w:ind w:firstLine="709" w:left="0"/>
        <w:jc w:val="center"/>
        <w:rPr>
          <w:sz w:val="26"/>
        </w:rPr>
      </w:pPr>
    </w:p>
    <w:p w14:paraId="C70B0000">
      <w:pPr>
        <w:pStyle w:val="Style_6"/>
        <w:spacing w:after="0"/>
        <w:ind w:firstLine="709" w:left="0"/>
        <w:jc w:val="center"/>
        <w:rPr>
          <w:sz w:val="26"/>
        </w:rPr>
      </w:pPr>
    </w:p>
    <w:p w14:paraId="C80B0000">
      <w:pPr>
        <w:ind/>
        <w:jc w:val="right"/>
        <w:rPr>
          <w:sz w:val="28"/>
        </w:rPr>
      </w:pPr>
      <w:r>
        <w:rPr>
          <w:sz w:val="28"/>
        </w:rPr>
        <w:t>Приложение 4</w:t>
      </w:r>
    </w:p>
    <w:p w14:paraId="C90B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CA0B0000">
      <w:pPr>
        <w:ind/>
        <w:jc w:val="center"/>
        <w:rPr>
          <w:sz w:val="28"/>
        </w:rPr>
      </w:pPr>
      <w:r>
        <w:rPr>
          <w:sz w:val="28"/>
        </w:rPr>
        <w:t>РАСЧЕТ</w:t>
      </w:r>
    </w:p>
    <w:p w14:paraId="CB0B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налога на имущество физических лиц на 2024 и плановый период 2025-2026 годов</w:t>
      </w:r>
    </w:p>
    <w:p w14:paraId="CC0B0000">
      <w:pPr>
        <w:ind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2"/>
        <w:gridCol w:w="3924"/>
        <w:gridCol w:w="1559"/>
        <w:gridCol w:w="1560"/>
        <w:gridCol w:w="1559"/>
      </w:tblGrid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B0000">
            <w:pPr>
              <w:ind/>
              <w:jc w:val="center"/>
            </w:pPr>
            <w:r>
              <w:t>№</w:t>
            </w:r>
            <w:r>
              <w:t>п</w:t>
            </w:r>
            <w:r>
              <w:t>/п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B0000">
            <w:pPr>
              <w:ind/>
              <w:jc w:val="center"/>
            </w:pPr>
            <w:r>
              <w:t>Показатели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B0000">
            <w:pPr>
              <w:ind/>
              <w:jc w:val="center"/>
            </w:pPr>
            <w:r>
              <w:t>2024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B0000">
            <w:pPr>
              <w:ind/>
              <w:jc w:val="center"/>
            </w:pPr>
            <w:r>
              <w:t>2025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B0000">
            <w:pPr>
              <w:ind/>
              <w:jc w:val="center"/>
            </w:pPr>
            <w:r>
              <w:t>2026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B0000">
            <w:r>
              <w:t>1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B0000">
            <w:r>
              <w:t xml:space="preserve"> Кадастровая стоимость жилых домов свыше 50 кв. м.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B0000">
            <w:pPr>
              <w:ind/>
              <w:jc w:val="center"/>
            </w:pPr>
            <w:r>
              <w:t>143 122,3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B0000">
            <w:pPr>
              <w:ind/>
              <w:jc w:val="center"/>
            </w:pPr>
            <w:r>
              <w:t>143 122,3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B0000">
            <w:pPr>
              <w:ind/>
              <w:jc w:val="center"/>
            </w:pPr>
            <w:r>
              <w:t>143 122,3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B0000">
            <w:r>
              <w:t>2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B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B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B0000">
            <w:r>
              <w:t>3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B0000">
            <w:r>
              <w:t xml:space="preserve">Сумма начисленного налога от кадастровой стоимости жилых домов свыше 50 </w:t>
            </w:r>
            <w:r>
              <w:t>кв.м</w:t>
            </w:r>
            <w:r>
              <w:t>. (п.1*п.2)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B0000">
            <w:pPr>
              <w:ind/>
              <w:jc w:val="center"/>
            </w:pPr>
            <w:r>
              <w:t>143 ,1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B0000">
            <w:pPr>
              <w:ind/>
              <w:jc w:val="center"/>
            </w:pPr>
            <w:r>
              <w:t>143 ,1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B0000">
            <w:pPr>
              <w:ind/>
              <w:jc w:val="center"/>
            </w:pPr>
            <w:r>
              <w:t>143 ,1</w:t>
            </w:r>
          </w:p>
        </w:tc>
      </w:tr>
      <w:tr>
        <w:trPr>
          <w:trHeight w:hRule="atLeast" w:val="229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B0000">
            <w:r>
              <w:t>4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B0000">
            <w:r>
              <w:t xml:space="preserve">Кадастровая стоимость </w:t>
            </w:r>
            <w:r>
              <w:t>квартир, частей квартир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B0000">
            <w:pPr>
              <w:ind/>
              <w:jc w:val="center"/>
            </w:pPr>
            <w:r>
              <w:t>183 075,2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B0000">
            <w:pPr>
              <w:ind/>
              <w:jc w:val="center"/>
            </w:pPr>
            <w:r>
              <w:t>183 075,2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B0000">
            <w:pPr>
              <w:ind/>
              <w:jc w:val="center"/>
            </w:pPr>
            <w:r>
              <w:t>183 075,2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B0000">
            <w:r>
              <w:t>5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B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B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B0000">
            <w:r>
              <w:t>6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B0000">
            <w:r>
              <w:t>Сумма начисленного налога от кадастровой стоимости квартир (п.4*п.5)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B0000">
            <w:pPr>
              <w:ind/>
              <w:jc w:val="center"/>
            </w:pPr>
            <w:r>
              <w:t>183,1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B0000">
            <w:pPr>
              <w:ind/>
              <w:jc w:val="center"/>
            </w:pPr>
            <w:r>
              <w:t>183,1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B0000">
            <w:pPr>
              <w:ind/>
              <w:jc w:val="center"/>
            </w:pPr>
            <w:r>
              <w:t>183,1</w:t>
            </w:r>
          </w:p>
        </w:tc>
      </w:tr>
      <w:tr>
        <w:trPr>
          <w:trHeight w:hRule="atLeast" w:val="279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B0000">
            <w:r>
              <w:t>7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B0000">
            <w:r>
              <w:t xml:space="preserve">Кадастровая стоимость гаражей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B0000">
            <w:pPr>
              <w:ind/>
              <w:jc w:val="center"/>
            </w:pPr>
            <w:r>
              <w:t>2 251,2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B0000">
            <w:pPr>
              <w:ind/>
              <w:jc w:val="center"/>
            </w:pPr>
            <w:r>
              <w:t>2 251,2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B0000">
            <w:pPr>
              <w:ind/>
              <w:jc w:val="center"/>
            </w:pPr>
            <w:r>
              <w:t>2 251,2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B0000">
            <w:r>
              <w:t>8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B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B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B0000">
            <w:r>
              <w:t>9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B0000">
            <w:r>
              <w:t>Сумма начисленного налога от кадастровой стоимости гаражей (п.7*п.8)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B0000">
            <w:pPr>
              <w:ind/>
              <w:jc w:val="center"/>
            </w:pPr>
            <w:r>
              <w:t>2,2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B0000">
            <w:pPr>
              <w:ind/>
              <w:jc w:val="center"/>
            </w:pPr>
            <w:r>
              <w:t>2,2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B0000">
            <w:pPr>
              <w:ind/>
              <w:jc w:val="center"/>
            </w:pPr>
            <w:r>
              <w:t>2,2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B0000">
            <w:r>
              <w:t>10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C0000">
            <w:r>
              <w:t xml:space="preserve">Кадастровая стоимость хозяйственных строений, помещений или сооружений (площадь не превышает 50 </w:t>
            </w:r>
            <w:r>
              <w:t>кв</w:t>
            </w:r>
            <w:r>
              <w:t>.м</w:t>
            </w:r>
            <w:r>
              <w:t>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C0000">
            <w:pPr>
              <w:ind/>
              <w:jc w:val="center"/>
            </w:pPr>
            <w:r>
              <w:t>3 530,0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C0000">
            <w:pPr>
              <w:ind/>
              <w:jc w:val="center"/>
            </w:pPr>
            <w:r>
              <w:t>3 530,0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C0000">
            <w:pPr>
              <w:ind/>
              <w:jc w:val="center"/>
            </w:pPr>
            <w:r>
              <w:t>3 530,0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C0000">
            <w:r>
              <w:t>11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C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C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C0000">
            <w:r>
              <w:t>12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C0000">
            <w:r>
              <w:t xml:space="preserve">Сумма начисленного налога от кадастровой стоимости </w:t>
            </w:r>
            <w:r>
              <w:t>хозстроений</w:t>
            </w:r>
            <w:r>
              <w:t xml:space="preserve">  (п.10*п.11)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C0000">
            <w:pPr>
              <w:ind/>
              <w:jc w:val="center"/>
            </w:pPr>
            <w:r>
              <w:t>3,5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C0000">
            <w:pPr>
              <w:ind/>
              <w:jc w:val="center"/>
            </w:pPr>
            <w:r>
              <w:t>3,5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C0000">
            <w:pPr>
              <w:ind/>
              <w:jc w:val="center"/>
            </w:pPr>
            <w:r>
              <w:t>3,5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C0000">
            <w:r>
              <w:t>13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C0000">
            <w:r>
              <w:t>Кадастровая стоимость иных строений,  помещений и сооружений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C0000">
            <w:pPr>
              <w:ind/>
              <w:jc w:val="center"/>
            </w:pPr>
            <w:r>
              <w:t>76 754,4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C0000">
            <w:pPr>
              <w:ind/>
              <w:jc w:val="center"/>
            </w:pPr>
            <w:r>
              <w:t>76 754,4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C0000">
            <w:pPr>
              <w:ind/>
              <w:jc w:val="center"/>
            </w:pPr>
            <w:r>
              <w:t>76 754,4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C0000">
            <w:r>
              <w:t>14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C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C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C0000">
            <w:r>
              <w:t>15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C0000">
            <w:r>
              <w:t xml:space="preserve">Сумма начисленного налога от </w:t>
            </w:r>
            <w:r>
              <w:t>кадастровой стоимости  иных помещений (п.13*п.14)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C0000">
            <w:pPr>
              <w:ind/>
              <w:jc w:val="center"/>
            </w:pPr>
            <w:r>
              <w:t>76,8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C0000">
            <w:pPr>
              <w:ind/>
              <w:jc w:val="center"/>
            </w:pPr>
            <w:r>
              <w:t>76,8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C0000">
            <w:pPr>
              <w:ind/>
              <w:jc w:val="center"/>
            </w:pPr>
            <w:r>
              <w:t>76,8</w:t>
            </w:r>
          </w:p>
        </w:tc>
      </w:tr>
      <w:tr>
        <w:trPr>
          <w:trHeight w:hRule="atLeast" w:val="70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C0000">
            <w:r>
              <w:t>16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C0000">
            <w:r>
              <w:t>Налоговый потенциал (п.3+п.6+п.9+п.12+п.15)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C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C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C0000">
            <w:pPr>
              <w:ind/>
              <w:jc w:val="center"/>
            </w:pPr>
            <w:r>
              <w:t>408,7</w:t>
            </w:r>
          </w:p>
        </w:tc>
      </w:tr>
    </w:tbl>
    <w:p w14:paraId="220C0000">
      <w:pPr>
        <w:pStyle w:val="Style_6"/>
        <w:spacing w:after="0" w:line="276" w:lineRule="auto"/>
        <w:ind/>
        <w:rPr>
          <w:sz w:val="28"/>
        </w:rPr>
      </w:pPr>
    </w:p>
    <w:p w14:paraId="230C0000">
      <w:pPr>
        <w:pStyle w:val="Style_6"/>
        <w:spacing w:after="0" w:line="276" w:lineRule="auto"/>
        <w:ind/>
        <w:rPr>
          <w:sz w:val="28"/>
        </w:rPr>
      </w:pPr>
    </w:p>
    <w:p w14:paraId="240C0000">
      <w:pPr>
        <w:ind/>
        <w:jc w:val="right"/>
        <w:rPr>
          <w:sz w:val="28"/>
        </w:rPr>
      </w:pPr>
    </w:p>
    <w:p w14:paraId="250C0000">
      <w:pPr>
        <w:ind/>
        <w:jc w:val="right"/>
        <w:rPr>
          <w:sz w:val="28"/>
        </w:rPr>
      </w:pPr>
    </w:p>
    <w:p w14:paraId="260C0000">
      <w:pPr>
        <w:ind/>
        <w:jc w:val="right"/>
        <w:rPr>
          <w:sz w:val="28"/>
        </w:rPr>
      </w:pPr>
    </w:p>
    <w:p w14:paraId="270C0000">
      <w:pPr>
        <w:ind/>
        <w:jc w:val="right"/>
        <w:rPr>
          <w:sz w:val="28"/>
        </w:rPr>
      </w:pPr>
    </w:p>
    <w:p w14:paraId="280C0000">
      <w:pPr>
        <w:ind/>
        <w:jc w:val="right"/>
        <w:rPr>
          <w:sz w:val="28"/>
        </w:rPr>
      </w:pPr>
    </w:p>
    <w:p w14:paraId="290C0000">
      <w:pPr>
        <w:ind/>
        <w:jc w:val="right"/>
        <w:rPr>
          <w:sz w:val="28"/>
        </w:rPr>
      </w:pPr>
    </w:p>
    <w:p w14:paraId="2A0C0000">
      <w:pPr>
        <w:ind/>
        <w:jc w:val="right"/>
        <w:rPr>
          <w:sz w:val="28"/>
        </w:rPr>
      </w:pPr>
      <w:r>
        <w:rPr>
          <w:sz w:val="28"/>
        </w:rPr>
        <w:t>Приложение 5</w:t>
      </w:r>
    </w:p>
    <w:p w14:paraId="2B0C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2C0C0000">
      <w:pPr>
        <w:rPr>
          <w:sz w:val="28"/>
        </w:rPr>
      </w:pPr>
      <w:r>
        <w:rPr>
          <w:sz w:val="28"/>
        </w:rPr>
        <w:t xml:space="preserve">                                                                    Расчёт</w:t>
      </w:r>
    </w:p>
    <w:p w14:paraId="2D0C0000">
      <w:pPr>
        <w:ind/>
        <w:jc w:val="center"/>
        <w:rPr>
          <w:sz w:val="28"/>
        </w:rPr>
      </w:pPr>
      <w:r>
        <w:rPr>
          <w:sz w:val="28"/>
        </w:rPr>
        <w:t xml:space="preserve">Поступлений в бюджет поселения земельного налога на 2024 год </w:t>
      </w:r>
    </w:p>
    <w:p w14:paraId="2E0C0000">
      <w:pPr>
        <w:ind/>
        <w:jc w:val="center"/>
        <w:rPr>
          <w:sz w:val="28"/>
        </w:rPr>
      </w:pPr>
      <w:r>
        <w:rPr>
          <w:sz w:val="28"/>
        </w:rPr>
        <w:t xml:space="preserve">и плановый период 2025 - 2026 годы 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0"/>
        <w:gridCol w:w="1418"/>
        <w:gridCol w:w="1417"/>
        <w:gridCol w:w="1260"/>
      </w:tblGrid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2024год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2026год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Налоговый потенциал в бюджет поселения (НП),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>.р</w:t>
            </w:r>
            <w:r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6649,7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12268,8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12268,8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Кадастровая стоимость облагаем</w:t>
            </w:r>
            <w:r>
              <w:rPr>
                <w:sz w:val="28"/>
              </w:rPr>
              <w:t>ых земельным налогом земельных учас</w:t>
            </w:r>
            <w:bookmarkStart w:id="2" w:name="_GoBack"/>
            <w:bookmarkEnd w:id="2"/>
            <w:r>
              <w:rPr>
                <w:sz w:val="28"/>
              </w:rPr>
              <w:t>тков юридических лиц, другие земли, (</w:t>
            </w:r>
            <w:r>
              <w:rPr>
                <w:sz w:val="28"/>
              </w:rPr>
              <w:t>КСзем.уч.юр</w:t>
            </w:r>
            <w:r>
              <w:rPr>
                <w:sz w:val="28"/>
              </w:rPr>
              <w:t>.л</w:t>
            </w:r>
            <w:r>
              <w:rPr>
                <w:sz w:val="28"/>
              </w:rPr>
              <w:t xml:space="preserve">), </w:t>
            </w:r>
            <w:r>
              <w:rPr>
                <w:sz w:val="28"/>
              </w:rPr>
              <w:t>тыс.руб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36539,9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36539,9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36539,9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Кадастровая стоимость облагаемых земельным налогом земельных участков физических лиц, другие земли, (</w:t>
            </w:r>
            <w:r>
              <w:rPr>
                <w:sz w:val="28"/>
              </w:rPr>
              <w:t>КСзем.уч</w:t>
            </w:r>
            <w:r>
              <w:rPr>
                <w:sz w:val="28"/>
              </w:rPr>
              <w:t>.ф</w:t>
            </w:r>
            <w:r>
              <w:rPr>
                <w:sz w:val="28"/>
              </w:rPr>
              <w:t>из.л</w:t>
            </w:r>
            <w:r>
              <w:rPr>
                <w:sz w:val="28"/>
              </w:rPr>
              <w:t xml:space="preserve">), </w:t>
            </w:r>
            <w:r>
              <w:rPr>
                <w:sz w:val="28"/>
              </w:rPr>
              <w:t>тыс.руб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76,2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2004,4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2004,4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Ставка земельного налога, (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),%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1,5%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1,5%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1,5%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Сумма налога (п.2+п.3)хп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, тыс. 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549,2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578,2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578,2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Кадастровая стоимость облагаемых земельным налогом земельных участков юридических лиц, земли сельскохозяйственного назначения,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КСзем.уч.юр.л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 xml:space="preserve">/х), </w:t>
            </w:r>
            <w:r>
              <w:rPr>
                <w:sz w:val="28"/>
              </w:rPr>
              <w:t>тыс.руб</w:t>
            </w:r>
            <w:r>
              <w:rPr>
                <w:sz w:val="28"/>
              </w:rPr>
              <w:t>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306246,6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306246,6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306246,6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Кадастровая стоимость облагаемых земельным налогом земельных участков физических лиц, земли сельскохозяйственного назначения, (</w:t>
            </w:r>
            <w:r>
              <w:rPr>
                <w:sz w:val="28"/>
              </w:rPr>
              <w:t>КСзем.уч</w:t>
            </w:r>
            <w:r>
              <w:rPr>
                <w:sz w:val="28"/>
              </w:rPr>
              <w:t>.ф</w:t>
            </w:r>
            <w:r>
              <w:rPr>
                <w:sz w:val="28"/>
              </w:rPr>
              <w:t>из.л.с</w:t>
            </w:r>
            <w:r>
              <w:rPr>
                <w:sz w:val="28"/>
              </w:rPr>
              <w:t xml:space="preserve">/х), </w:t>
            </w:r>
            <w:r>
              <w:rPr>
                <w:sz w:val="28"/>
              </w:rPr>
              <w:t>тыс.руб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1727254,1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3590640,0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3590640,0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Ставка земе</w:t>
            </w:r>
            <w:r>
              <w:rPr>
                <w:sz w:val="28"/>
              </w:rPr>
              <w:t>льного налога, (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),%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Сумма налог</w:t>
            </w:r>
            <w:r>
              <w:rPr>
                <w:sz w:val="28"/>
              </w:rPr>
              <w:t>а(</w:t>
            </w:r>
            <w:r>
              <w:rPr>
                <w:sz w:val="28"/>
              </w:rPr>
              <w:t>п.6+п.7)хп8, тыс. 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6100,5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11690,6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11690,6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C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Сумма налога, не поступившая в бюджет в связи с предоставлением  налогоплательщикам льгот по налогу на основании отчета 5-МН   радел  II "Отчет о налоговой </w:t>
            </w:r>
            <w:r>
              <w:rPr>
                <w:sz w:val="26"/>
              </w:rPr>
              <w:t>базе и структуре начислений по земельному налогу по физическим лицам за 2021 год</w:t>
            </w:r>
            <w:r>
              <w:rPr>
                <w:sz w:val="26"/>
              </w:rPr>
              <w:t>"(</w:t>
            </w:r>
            <w:r>
              <w:rPr>
                <w:sz w:val="26"/>
              </w:rPr>
              <w:t>Л</w:t>
            </w:r>
            <w:r>
              <w:rPr>
                <w:sz w:val="26"/>
                <w:vertAlign w:val="subscript"/>
              </w:rPr>
              <w:t>iфиз.л</w:t>
            </w:r>
            <w:r>
              <w:rPr>
                <w:sz w:val="26"/>
                <w:vertAlign w:val="subscript"/>
              </w:rPr>
              <w:t>.</w:t>
            </w:r>
            <w:r>
              <w:rPr>
                <w:sz w:val="26"/>
              </w:rPr>
              <w:t xml:space="preserve">), </w:t>
            </w:r>
            <w:r>
              <w:rPr>
                <w:sz w:val="26"/>
              </w:rPr>
              <w:t>тыс.рублей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C0000">
            <w:pPr>
              <w:ind/>
              <w:jc w:val="center"/>
              <w:rPr>
                <w:sz w:val="28"/>
              </w:rPr>
            </w:pPr>
          </w:p>
          <w:p w14:paraId="590C0000">
            <w:pPr>
              <w:ind/>
              <w:jc w:val="center"/>
              <w:rPr>
                <w:sz w:val="28"/>
              </w:rPr>
            </w:pPr>
          </w:p>
          <w:p w14:paraId="5A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C0000">
            <w:pPr>
              <w:ind/>
              <w:jc w:val="center"/>
              <w:rPr>
                <w:sz w:val="28"/>
              </w:rPr>
            </w:pPr>
          </w:p>
          <w:p w14:paraId="5C0C0000">
            <w:pPr>
              <w:ind/>
              <w:jc w:val="center"/>
              <w:rPr>
                <w:sz w:val="28"/>
              </w:rPr>
            </w:pPr>
          </w:p>
          <w:p w14:paraId="5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C0000">
            <w:pPr>
              <w:ind/>
              <w:jc w:val="center"/>
              <w:rPr>
                <w:sz w:val="28"/>
              </w:rPr>
            </w:pPr>
          </w:p>
          <w:p w14:paraId="5F0C0000">
            <w:pPr>
              <w:ind/>
              <w:jc w:val="center"/>
              <w:rPr>
                <w:sz w:val="28"/>
              </w:rPr>
            </w:pPr>
          </w:p>
          <w:p w14:paraId="6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Недоимка прошлых лет  по состоянию на 01.10.2023 г., (</w:t>
            </w:r>
            <w:r>
              <w:rPr>
                <w:sz w:val="28"/>
              </w:rPr>
              <w:t>Нед</w:t>
            </w:r>
            <w:r>
              <w:rPr>
                <w:sz w:val="28"/>
              </w:rPr>
              <w:t>.), тыс. 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193"/>
        </w:trP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Сумма налога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6614,7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12133,8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12133,8</w:t>
            </w:r>
          </w:p>
        </w:tc>
      </w:tr>
    </w:tbl>
    <w:p w14:paraId="690C0000">
      <w:r>
        <w:t xml:space="preserve">Примечание: </w:t>
      </w:r>
      <w:r>
        <w:t>2024-2026  год</w:t>
      </w:r>
    </w:p>
    <w:p w14:paraId="6A0C0000">
      <w:pPr>
        <w:ind/>
        <w:jc w:val="both"/>
        <w:rPr>
          <w:sz w:val="20"/>
        </w:rPr>
      </w:pPr>
      <w:r>
        <w:rPr>
          <w:sz w:val="20"/>
        </w:rPr>
        <w:t>НП= ∑{[(</w:t>
      </w:r>
      <w:r>
        <w:rPr>
          <w:sz w:val="20"/>
        </w:rPr>
        <w:t>КСзем.уч.юр</w:t>
      </w:r>
      <w:r>
        <w:rPr>
          <w:sz w:val="20"/>
        </w:rPr>
        <w:t>.л</w:t>
      </w:r>
      <w:r>
        <w:rPr>
          <w:sz w:val="20"/>
        </w:rPr>
        <w:t xml:space="preserve"> + </w:t>
      </w:r>
      <w:r>
        <w:rPr>
          <w:sz w:val="20"/>
        </w:rPr>
        <w:t>КСзем.уч.физ.л</w:t>
      </w:r>
      <w:r>
        <w:rPr>
          <w:sz w:val="20"/>
        </w:rPr>
        <w:t xml:space="preserve">.)х </w:t>
      </w:r>
      <w:r>
        <w:rPr>
          <w:sz w:val="20"/>
        </w:rPr>
        <w:t>Сi</w:t>
      </w:r>
      <w:r>
        <w:rPr>
          <w:sz w:val="20"/>
        </w:rPr>
        <w:t xml:space="preserve"> + (</w:t>
      </w:r>
      <w:r>
        <w:rPr>
          <w:sz w:val="20"/>
        </w:rPr>
        <w:t>КСзем.уч.юр.л.с</w:t>
      </w:r>
      <w:r>
        <w:rPr>
          <w:sz w:val="20"/>
        </w:rPr>
        <w:t xml:space="preserve">/х+ </w:t>
      </w:r>
      <w:r>
        <w:rPr>
          <w:sz w:val="20"/>
        </w:rPr>
        <w:t>КСзем.уч.физ.л.с</w:t>
      </w:r>
      <w:r>
        <w:rPr>
          <w:sz w:val="20"/>
        </w:rPr>
        <w:t xml:space="preserve">/х)х </w:t>
      </w:r>
      <w:r>
        <w:rPr>
          <w:sz w:val="20"/>
        </w:rPr>
        <w:t>С</w:t>
      </w:r>
      <w:r>
        <w:rPr>
          <w:sz w:val="20"/>
          <w:vertAlign w:val="subscript"/>
        </w:rPr>
        <w:t>j</w:t>
      </w:r>
      <w:r>
        <w:rPr>
          <w:sz w:val="20"/>
        </w:rPr>
        <w:t xml:space="preserve"> – </w:t>
      </w:r>
      <w:r>
        <w:rPr>
          <w:sz w:val="20"/>
        </w:rPr>
        <w:t>Л</w:t>
      </w:r>
      <w:r>
        <w:rPr>
          <w:sz w:val="20"/>
          <w:vertAlign w:val="subscript"/>
        </w:rPr>
        <w:t>i</w:t>
      </w:r>
      <w:r>
        <w:rPr>
          <w:sz w:val="20"/>
          <w:vertAlign w:val="superscript"/>
        </w:rPr>
        <w:t>юр.л</w:t>
      </w:r>
      <w:r>
        <w:rPr>
          <w:sz w:val="20"/>
          <w:vertAlign w:val="superscript"/>
        </w:rPr>
        <w:t>.</w:t>
      </w:r>
      <w:r>
        <w:rPr>
          <w:sz w:val="20"/>
        </w:rPr>
        <w:t xml:space="preserve"> – </w:t>
      </w:r>
      <w:r>
        <w:rPr>
          <w:sz w:val="20"/>
        </w:rPr>
        <w:t>Л</w:t>
      </w:r>
      <w:r>
        <w:rPr>
          <w:sz w:val="20"/>
          <w:vertAlign w:val="subscript"/>
        </w:rPr>
        <w:t>i</w:t>
      </w:r>
      <w:r>
        <w:rPr>
          <w:sz w:val="20"/>
          <w:vertAlign w:val="superscript"/>
        </w:rPr>
        <w:t>физ.л</w:t>
      </w:r>
      <w:r>
        <w:rPr>
          <w:sz w:val="20"/>
          <w:vertAlign w:val="superscript"/>
        </w:rPr>
        <w:t xml:space="preserve">..+ </w:t>
      </w:r>
      <w:r>
        <w:rPr>
          <w:sz w:val="20"/>
        </w:rPr>
        <w:t>Нед</w:t>
      </w:r>
      <w:r>
        <w:rPr>
          <w:sz w:val="20"/>
        </w:rPr>
        <w:t>.</w:t>
      </w:r>
    </w:p>
    <w:p w14:paraId="6B0C0000">
      <w:pPr>
        <w:tabs>
          <w:tab w:leader="none" w:pos="4677" w:val="center"/>
          <w:tab w:leader="none" w:pos="9355" w:val="right"/>
        </w:tabs>
        <w:ind/>
        <w:rPr>
          <w:sz w:val="20"/>
        </w:rPr>
      </w:pPr>
    </w:p>
    <w:p w14:paraId="6C0C0000">
      <w:pPr>
        <w:pStyle w:val="Style_6"/>
        <w:spacing w:after="0" w:line="276" w:lineRule="auto"/>
        <w:ind/>
        <w:rPr>
          <w:sz w:val="20"/>
        </w:rPr>
      </w:pPr>
      <w:r>
        <w:rPr>
          <w:sz w:val="20"/>
        </w:rPr>
        <w:t>НП 2024 года -6614,7 = (36539,9+76,2)*1,5% +(306246,6+1727254,1)*0,3%–135+100,0</w:t>
      </w:r>
    </w:p>
    <w:p w14:paraId="6D0C0000">
      <w:pPr>
        <w:pStyle w:val="Style_6"/>
        <w:spacing w:after="0" w:line="276" w:lineRule="auto"/>
        <w:ind/>
        <w:rPr>
          <w:sz w:val="20"/>
        </w:rPr>
      </w:pPr>
      <w:r>
        <w:rPr>
          <w:sz w:val="20"/>
        </w:rPr>
        <w:t>НП 2025 года -12 133,8 = (36539,9+2004,4)</w:t>
      </w:r>
      <w:r>
        <w:rPr>
          <w:sz w:val="20"/>
        </w:rPr>
        <w:t>*1,5% +(306246,6+3590640,0)*0,3%–135</w:t>
      </w:r>
    </w:p>
    <w:p w14:paraId="6E0C0000">
      <w:pPr>
        <w:pStyle w:val="Style_6"/>
        <w:spacing w:after="0" w:line="276" w:lineRule="auto"/>
        <w:ind/>
        <w:rPr>
          <w:sz w:val="20"/>
        </w:rPr>
      </w:pPr>
      <w:r>
        <w:rPr>
          <w:sz w:val="20"/>
        </w:rPr>
        <w:t>НП 2026 года -12 133,8 = (36539,9+2004,4)*1,5% +(306246,6+3590640,0)*0,3%–135</w:t>
      </w:r>
    </w:p>
    <w:p w14:paraId="6F0C0000">
      <w:pPr>
        <w:ind/>
        <w:jc w:val="right"/>
        <w:rPr>
          <w:sz w:val="28"/>
        </w:rPr>
      </w:pPr>
      <w:r>
        <w:rPr>
          <w:sz w:val="28"/>
        </w:rPr>
        <w:t>Приложение 6</w:t>
      </w:r>
    </w:p>
    <w:p w14:paraId="700C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710C0000">
      <w:pPr>
        <w:keepNext w:val="1"/>
        <w:ind/>
        <w:jc w:val="center"/>
        <w:outlineLvl w:val="1"/>
        <w:rPr>
          <w:sz w:val="28"/>
        </w:rPr>
      </w:pPr>
    </w:p>
    <w:p w14:paraId="720C0000">
      <w:pPr>
        <w:keepNext w:val="1"/>
        <w:ind/>
        <w:jc w:val="center"/>
        <w:outlineLvl w:val="1"/>
        <w:rPr>
          <w:b w:val="1"/>
          <w:sz w:val="28"/>
        </w:rPr>
      </w:pPr>
    </w:p>
    <w:p w14:paraId="730C0000">
      <w:pPr>
        <w:keepNext w:val="1"/>
        <w:ind/>
        <w:jc w:val="center"/>
        <w:outlineLvl w:val="1"/>
        <w:rPr>
          <w:sz w:val="28"/>
        </w:rPr>
      </w:pPr>
      <w:r>
        <w:rPr>
          <w:sz w:val="28"/>
        </w:rPr>
        <w:t>Расчет</w:t>
      </w:r>
    </w:p>
    <w:p w14:paraId="740C0000">
      <w:pPr>
        <w:ind/>
        <w:jc w:val="center"/>
        <w:rPr>
          <w:sz w:val="28"/>
        </w:rPr>
      </w:pPr>
      <w:r>
        <w:rPr>
          <w:sz w:val="28"/>
        </w:rPr>
        <w:t>поступлений  в бюджет поселения  государственной пошлины за совершение нотариальных действий д</w:t>
      </w:r>
      <w:r>
        <w:rPr>
          <w:sz w:val="28"/>
        </w:rPr>
        <w:t xml:space="preserve">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на 2024 год и плановый период  2025  и  2026 годов  </w:t>
      </w:r>
    </w:p>
    <w:p w14:paraId="750C0000">
      <w:pPr>
        <w:ind/>
        <w:jc w:val="center"/>
        <w:rPr>
          <w:sz w:val="28"/>
        </w:rPr>
      </w:pPr>
    </w:p>
    <w:p w14:paraId="760C0000">
      <w:pPr>
        <w:tabs>
          <w:tab w:leader="none" w:pos="8931" w:val="right"/>
        </w:tabs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тыс. рублей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4361"/>
        <w:gridCol w:w="1559"/>
        <w:gridCol w:w="1418"/>
        <w:gridCol w:w="1275"/>
      </w:tblGrid>
      <w:tr>
        <w:trPr>
          <w:trHeight w:hRule="atLeast" w:val="54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C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80C000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4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  <w:p w14:paraId="7A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  <w:p w14:paraId="7C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  <w:p w14:paraId="7E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  <w:p w14:paraId="8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год</w:t>
            </w:r>
          </w:p>
        </w:tc>
      </w:tr>
      <w:tr>
        <w:trPr>
          <w:trHeight w:hRule="atLeast" w:val="81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C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C0000">
            <w:pPr>
              <w:rPr>
                <w:sz w:val="28"/>
              </w:rPr>
            </w:pPr>
            <w:r>
              <w:rPr>
                <w:sz w:val="28"/>
              </w:rPr>
              <w:t xml:space="preserve">Налоговый потенциал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C0000">
            <w:pPr>
              <w:ind/>
              <w:jc w:val="center"/>
              <w:rPr>
                <w:sz w:val="28"/>
              </w:rPr>
            </w:pPr>
          </w:p>
          <w:p w14:paraId="8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C0000">
            <w:pPr>
              <w:ind/>
              <w:jc w:val="center"/>
              <w:rPr>
                <w:sz w:val="28"/>
              </w:rPr>
            </w:pPr>
          </w:p>
          <w:p w14:paraId="8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C0000">
            <w:pPr>
              <w:ind/>
              <w:jc w:val="center"/>
              <w:rPr>
                <w:sz w:val="28"/>
              </w:rPr>
            </w:pPr>
          </w:p>
          <w:p w14:paraId="8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</w:tbl>
    <w:p w14:paraId="890C0000">
      <w:pPr>
        <w:pStyle w:val="Style_6"/>
        <w:spacing w:after="0" w:line="276" w:lineRule="auto"/>
        <w:ind/>
        <w:rPr>
          <w:sz w:val="28"/>
        </w:rPr>
      </w:pPr>
    </w:p>
    <w:p w14:paraId="8A0C0000">
      <w:pPr>
        <w:pStyle w:val="Style_6"/>
        <w:spacing w:after="0" w:line="276" w:lineRule="auto"/>
        <w:ind/>
        <w:rPr>
          <w:sz w:val="28"/>
        </w:rPr>
      </w:pPr>
    </w:p>
    <w:p w14:paraId="8B0C0000">
      <w:pPr>
        <w:pStyle w:val="Style_6"/>
        <w:spacing w:after="0" w:line="276" w:lineRule="auto"/>
        <w:ind/>
        <w:rPr>
          <w:sz w:val="28"/>
        </w:rPr>
      </w:pPr>
    </w:p>
    <w:p w14:paraId="8C0C0000">
      <w:pPr>
        <w:pStyle w:val="Style_6"/>
        <w:spacing w:after="0" w:line="276" w:lineRule="auto"/>
        <w:ind/>
        <w:rPr>
          <w:sz w:val="28"/>
        </w:rPr>
      </w:pPr>
    </w:p>
    <w:p w14:paraId="8D0C0000">
      <w:pPr>
        <w:pStyle w:val="Style_6"/>
        <w:spacing w:after="0" w:line="276" w:lineRule="auto"/>
        <w:ind/>
        <w:rPr>
          <w:sz w:val="28"/>
        </w:rPr>
      </w:pPr>
    </w:p>
    <w:p w14:paraId="8E0C0000">
      <w:pPr>
        <w:pStyle w:val="Style_6"/>
        <w:spacing w:after="0" w:line="276" w:lineRule="auto"/>
        <w:ind/>
        <w:rPr>
          <w:sz w:val="28"/>
        </w:rPr>
      </w:pPr>
    </w:p>
    <w:p w14:paraId="8F0C0000">
      <w:pPr>
        <w:pStyle w:val="Style_6"/>
        <w:spacing w:after="0" w:line="276" w:lineRule="auto"/>
        <w:ind/>
        <w:rPr>
          <w:sz w:val="28"/>
        </w:rPr>
      </w:pPr>
    </w:p>
    <w:p w14:paraId="900C0000">
      <w:pPr>
        <w:pStyle w:val="Style_6"/>
        <w:spacing w:after="0" w:line="276" w:lineRule="auto"/>
        <w:ind/>
        <w:rPr>
          <w:sz w:val="28"/>
        </w:rPr>
      </w:pPr>
    </w:p>
    <w:p w14:paraId="910C0000">
      <w:pPr>
        <w:pStyle w:val="Style_6"/>
        <w:spacing w:after="0" w:line="276" w:lineRule="auto"/>
        <w:ind/>
        <w:rPr>
          <w:sz w:val="28"/>
        </w:rPr>
      </w:pPr>
    </w:p>
    <w:p w14:paraId="920C0000">
      <w:pPr>
        <w:pStyle w:val="Style_6"/>
        <w:spacing w:after="0" w:line="276" w:lineRule="auto"/>
        <w:ind/>
        <w:rPr>
          <w:sz w:val="28"/>
        </w:rPr>
      </w:pPr>
    </w:p>
    <w:p w14:paraId="930C0000">
      <w:pPr>
        <w:pStyle w:val="Style_6"/>
        <w:spacing w:after="0" w:line="276" w:lineRule="auto"/>
        <w:ind/>
        <w:rPr>
          <w:sz w:val="28"/>
        </w:rPr>
      </w:pPr>
    </w:p>
    <w:p w14:paraId="940C0000">
      <w:pPr>
        <w:pStyle w:val="Style_6"/>
        <w:spacing w:after="0" w:line="276" w:lineRule="auto"/>
        <w:ind/>
        <w:rPr>
          <w:sz w:val="28"/>
        </w:rPr>
      </w:pPr>
    </w:p>
    <w:p w14:paraId="950C0000">
      <w:pPr>
        <w:pStyle w:val="Style_6"/>
        <w:spacing w:after="0" w:line="276" w:lineRule="auto"/>
        <w:ind/>
        <w:rPr>
          <w:sz w:val="28"/>
        </w:rPr>
      </w:pPr>
    </w:p>
    <w:p w14:paraId="960C0000">
      <w:pPr>
        <w:pStyle w:val="Style_6"/>
        <w:spacing w:after="0" w:line="276" w:lineRule="auto"/>
        <w:ind/>
        <w:rPr>
          <w:sz w:val="28"/>
        </w:rPr>
      </w:pPr>
    </w:p>
    <w:p w14:paraId="970C0000">
      <w:pPr>
        <w:pStyle w:val="Style_6"/>
        <w:spacing w:after="0" w:line="276" w:lineRule="auto"/>
        <w:ind/>
        <w:rPr>
          <w:sz w:val="28"/>
        </w:rPr>
      </w:pPr>
    </w:p>
    <w:p w14:paraId="980C0000">
      <w:pPr>
        <w:pStyle w:val="Style_6"/>
        <w:spacing w:after="0" w:line="276" w:lineRule="auto"/>
        <w:ind/>
        <w:rPr>
          <w:sz w:val="28"/>
        </w:rPr>
      </w:pPr>
    </w:p>
    <w:p w14:paraId="990C0000">
      <w:pPr>
        <w:pStyle w:val="Style_6"/>
        <w:spacing w:after="0" w:line="276" w:lineRule="auto"/>
        <w:ind/>
        <w:rPr>
          <w:sz w:val="28"/>
        </w:rPr>
      </w:pPr>
    </w:p>
    <w:p w14:paraId="9A0C0000">
      <w:pPr>
        <w:pStyle w:val="Style_6"/>
        <w:spacing w:after="0" w:line="276" w:lineRule="auto"/>
        <w:ind/>
        <w:rPr>
          <w:sz w:val="28"/>
        </w:rPr>
      </w:pPr>
    </w:p>
    <w:p w14:paraId="9B0C0000">
      <w:pPr>
        <w:pStyle w:val="Style_6"/>
        <w:spacing w:after="0" w:line="276" w:lineRule="auto"/>
        <w:ind/>
        <w:rPr>
          <w:sz w:val="28"/>
        </w:rPr>
      </w:pPr>
    </w:p>
    <w:p w14:paraId="9C0C0000">
      <w:pPr>
        <w:pStyle w:val="Style_6"/>
        <w:spacing w:after="0" w:line="276" w:lineRule="auto"/>
        <w:ind/>
        <w:rPr>
          <w:sz w:val="28"/>
        </w:rPr>
      </w:pPr>
    </w:p>
    <w:p w14:paraId="9D0C0000">
      <w:pPr>
        <w:pStyle w:val="Style_6"/>
        <w:spacing w:after="0" w:line="276" w:lineRule="auto"/>
        <w:ind/>
        <w:rPr>
          <w:sz w:val="28"/>
        </w:rPr>
      </w:pPr>
    </w:p>
    <w:p w14:paraId="9E0C0000">
      <w:pPr>
        <w:pStyle w:val="Style_6"/>
        <w:spacing w:after="0" w:line="276" w:lineRule="auto"/>
        <w:ind/>
        <w:rPr>
          <w:sz w:val="28"/>
        </w:rPr>
      </w:pPr>
    </w:p>
    <w:p w14:paraId="9F0C0000">
      <w:pPr>
        <w:pStyle w:val="Style_6"/>
        <w:spacing w:after="0" w:line="276" w:lineRule="auto"/>
        <w:ind/>
        <w:rPr>
          <w:sz w:val="28"/>
        </w:rPr>
      </w:pPr>
    </w:p>
    <w:p w14:paraId="A00C0000">
      <w:pPr>
        <w:pStyle w:val="Style_6"/>
        <w:spacing w:after="0" w:line="276" w:lineRule="auto"/>
        <w:ind/>
        <w:rPr>
          <w:sz w:val="28"/>
        </w:rPr>
      </w:pPr>
    </w:p>
    <w:p w14:paraId="A10C0000">
      <w:pPr>
        <w:ind/>
        <w:jc w:val="right"/>
        <w:rPr>
          <w:sz w:val="28"/>
        </w:rPr>
      </w:pPr>
      <w:r>
        <w:rPr>
          <w:sz w:val="28"/>
        </w:rPr>
        <w:t xml:space="preserve"> Приложение 7</w:t>
      </w:r>
    </w:p>
    <w:p w14:paraId="A20C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к пояснительной записке </w:t>
      </w:r>
    </w:p>
    <w:p w14:paraId="A30C0000"/>
    <w:p w14:paraId="A40C0000"/>
    <w:p w14:paraId="A50C0000">
      <w:pPr>
        <w:ind/>
        <w:jc w:val="center"/>
        <w:rPr>
          <w:sz w:val="28"/>
        </w:rPr>
      </w:pPr>
      <w:r>
        <w:rPr>
          <w:sz w:val="28"/>
        </w:rPr>
        <w:t>Расчет</w:t>
      </w:r>
    </w:p>
    <w:p w14:paraId="A60C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доходов от сдачи в аренду имущества и земельных участков после разграничения, находящих</w:t>
      </w:r>
      <w:r>
        <w:rPr>
          <w:sz w:val="28"/>
        </w:rPr>
        <w:t xml:space="preserve">ся  в государственной и муниципальной собственности на 2024 год </w:t>
      </w:r>
    </w:p>
    <w:p w14:paraId="A70C0000">
      <w:pPr>
        <w:ind/>
        <w:jc w:val="center"/>
        <w:rPr>
          <w:sz w:val="28"/>
        </w:rPr>
      </w:pPr>
      <w:r>
        <w:rPr>
          <w:sz w:val="28"/>
        </w:rPr>
        <w:t>и плановый период 2025 и 2026 годов</w:t>
      </w:r>
    </w:p>
    <w:p w14:paraId="A80C0000">
      <w:pPr>
        <w:tabs>
          <w:tab w:leader="none" w:pos="799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7"/>
        <w:gridCol w:w="3646"/>
        <w:gridCol w:w="1699"/>
        <w:gridCol w:w="1868"/>
        <w:gridCol w:w="1528"/>
      </w:tblGrid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C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п\</w:t>
            </w:r>
            <w:r>
              <w:rPr>
                <w:sz w:val="28"/>
              </w:rPr>
              <w:t>п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C0000">
            <w:pPr>
              <w:rPr>
                <w:sz w:val="28"/>
              </w:rPr>
            </w:pPr>
            <w:r>
              <w:rPr>
                <w:sz w:val="28"/>
              </w:rPr>
              <w:t xml:space="preserve">        Наименование показателя                   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C0000">
            <w:pPr>
              <w:rPr>
                <w:sz w:val="28"/>
              </w:rPr>
            </w:pPr>
            <w:r>
              <w:rPr>
                <w:sz w:val="28"/>
              </w:rPr>
              <w:t xml:space="preserve">   2024 год    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C0000">
            <w:pPr>
              <w:rPr>
                <w:sz w:val="28"/>
              </w:rPr>
            </w:pPr>
            <w:r>
              <w:rPr>
                <w:sz w:val="28"/>
              </w:rPr>
              <w:t xml:space="preserve">   2025год 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C0000">
            <w:pPr>
              <w:rPr>
                <w:sz w:val="28"/>
              </w:rPr>
            </w:pPr>
            <w:r>
              <w:rPr>
                <w:sz w:val="28"/>
              </w:rPr>
              <w:t xml:space="preserve">  2026год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C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C0000">
            <w:pPr>
              <w:rPr>
                <w:sz w:val="28"/>
              </w:rPr>
            </w:pPr>
            <w:r>
              <w:rPr>
                <w:sz w:val="28"/>
              </w:rPr>
              <w:t xml:space="preserve">    Неналоговый потенциал, в том числе: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406,7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422,9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439,8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C0000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C0000">
            <w:pPr>
              <w:rPr>
                <w:sz w:val="28"/>
              </w:rPr>
            </w:pPr>
            <w:r>
              <w:rPr>
                <w:sz w:val="28"/>
              </w:rPr>
              <w:t xml:space="preserve"> доходы в виде арендной платы за   земельные участки после разграничения и государственной регистр</w:t>
            </w:r>
            <w:r>
              <w:rPr>
                <w:sz w:val="28"/>
              </w:rPr>
              <w:t>ации права муниципальной собственности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114,0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118,6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123,3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C0000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C0000">
            <w:pPr>
              <w:rPr>
                <w:sz w:val="28"/>
              </w:rPr>
            </w:pPr>
            <w:r>
              <w:rPr>
                <w:sz w:val="28"/>
              </w:rPr>
              <w:t xml:space="preserve"> -доходы от сдачи в аренду имущества,      </w:t>
            </w:r>
          </w:p>
          <w:p w14:paraId="BA0C0000">
            <w:pPr>
              <w:rPr>
                <w:sz w:val="28"/>
              </w:rPr>
            </w:pPr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 xml:space="preserve"> в оперативном управлении государственных органов власти</w:t>
            </w:r>
          </w:p>
          <w:p w14:paraId="BB0C0000">
            <w:pPr>
              <w:rPr>
                <w:sz w:val="28"/>
              </w:rPr>
            </w:pP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C0000">
            <w:pPr>
              <w:ind/>
              <w:jc w:val="center"/>
              <w:rPr>
                <w:sz w:val="28"/>
              </w:rPr>
            </w:pPr>
          </w:p>
          <w:p w14:paraId="B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271,6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C0000">
            <w:pPr>
              <w:ind/>
              <w:jc w:val="center"/>
              <w:rPr>
                <w:sz w:val="28"/>
              </w:rPr>
            </w:pPr>
          </w:p>
          <w:p w14:paraId="B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282,4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C0000">
            <w:pPr>
              <w:ind/>
              <w:jc w:val="center"/>
              <w:rPr>
                <w:sz w:val="28"/>
              </w:rPr>
            </w:pPr>
          </w:p>
          <w:p w14:paraId="C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293,7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C0000">
            <w:pPr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C0000">
            <w:pPr>
              <w:rPr>
                <w:sz w:val="28"/>
              </w:rPr>
            </w:pPr>
            <w:r>
              <w:rPr>
                <w:sz w:val="28"/>
              </w:rPr>
              <w:t xml:space="preserve">- доходы от сдачи в аренду имущества, составляющего </w:t>
            </w:r>
            <w:r>
              <w:rPr>
                <w:sz w:val="28"/>
              </w:rPr>
              <w:t xml:space="preserve"> государственную (муниципальную) казну (за исключением земельных участков)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21,1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21,9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</w:tr>
    </w:tbl>
    <w:p w14:paraId="C70C0000">
      <w:pPr>
        <w:rPr>
          <w:sz w:val="28"/>
        </w:rPr>
      </w:pPr>
      <w:r>
        <w:rPr>
          <w:sz w:val="28"/>
        </w:rPr>
        <w:t xml:space="preserve">         </w:t>
      </w:r>
    </w:p>
    <w:p w14:paraId="C80C0000">
      <w:pPr>
        <w:pStyle w:val="Style_6"/>
        <w:spacing w:after="0" w:line="276" w:lineRule="auto"/>
        <w:ind/>
        <w:rPr>
          <w:sz w:val="28"/>
        </w:rPr>
      </w:pPr>
    </w:p>
    <w:p w14:paraId="C90C0000">
      <w:pPr>
        <w:pStyle w:val="Style_6"/>
        <w:spacing w:after="0" w:line="276" w:lineRule="auto"/>
        <w:ind/>
        <w:rPr>
          <w:sz w:val="28"/>
        </w:rPr>
      </w:pPr>
    </w:p>
    <w:p w14:paraId="CA0C0000">
      <w:pPr>
        <w:pStyle w:val="Style_6"/>
        <w:spacing w:after="0" w:line="276" w:lineRule="auto"/>
        <w:ind/>
        <w:rPr>
          <w:sz w:val="28"/>
        </w:rPr>
      </w:pPr>
    </w:p>
    <w:p w14:paraId="CB0C0000">
      <w:pPr>
        <w:pStyle w:val="Style_6"/>
        <w:spacing w:after="0" w:line="276" w:lineRule="auto"/>
        <w:ind/>
        <w:rPr>
          <w:sz w:val="28"/>
        </w:rPr>
      </w:pPr>
    </w:p>
    <w:p w14:paraId="CC0C0000">
      <w:pPr>
        <w:pStyle w:val="Style_6"/>
        <w:spacing w:after="0" w:line="276" w:lineRule="auto"/>
        <w:ind/>
        <w:rPr>
          <w:sz w:val="28"/>
        </w:rPr>
      </w:pPr>
    </w:p>
    <w:p w14:paraId="CD0C0000">
      <w:pPr>
        <w:pStyle w:val="Style_6"/>
        <w:spacing w:after="0" w:line="276" w:lineRule="auto"/>
        <w:ind/>
        <w:rPr>
          <w:sz w:val="28"/>
        </w:rPr>
      </w:pPr>
    </w:p>
    <w:p w14:paraId="CE0C0000">
      <w:pPr>
        <w:pStyle w:val="Style_6"/>
        <w:spacing w:after="0" w:line="276" w:lineRule="auto"/>
        <w:ind/>
        <w:rPr>
          <w:sz w:val="28"/>
        </w:rPr>
      </w:pPr>
    </w:p>
    <w:p w14:paraId="CF0C0000">
      <w:pPr>
        <w:pStyle w:val="Style_6"/>
        <w:spacing w:after="0" w:line="276" w:lineRule="auto"/>
        <w:ind/>
        <w:rPr>
          <w:sz w:val="28"/>
        </w:rPr>
      </w:pPr>
    </w:p>
    <w:p w14:paraId="D00C0000">
      <w:pPr>
        <w:pStyle w:val="Style_6"/>
        <w:spacing w:after="0" w:line="276" w:lineRule="auto"/>
        <w:ind/>
        <w:rPr>
          <w:sz w:val="28"/>
        </w:rPr>
      </w:pPr>
    </w:p>
    <w:p w14:paraId="D10C0000">
      <w:pPr>
        <w:pStyle w:val="Style_6"/>
        <w:spacing w:after="0" w:line="276" w:lineRule="auto"/>
        <w:ind/>
        <w:rPr>
          <w:sz w:val="28"/>
        </w:rPr>
      </w:pPr>
    </w:p>
    <w:p w14:paraId="D20C0000">
      <w:pPr>
        <w:pStyle w:val="Style_6"/>
        <w:spacing w:after="0" w:line="276" w:lineRule="auto"/>
        <w:ind/>
        <w:rPr>
          <w:sz w:val="28"/>
        </w:rPr>
      </w:pPr>
    </w:p>
    <w:p w14:paraId="D30C0000">
      <w:pPr>
        <w:ind/>
        <w:jc w:val="right"/>
        <w:rPr>
          <w:sz w:val="28"/>
        </w:rPr>
      </w:pPr>
      <w:r>
        <w:rPr>
          <w:sz w:val="28"/>
        </w:rPr>
        <w:t>Приложение 8</w:t>
      </w:r>
    </w:p>
    <w:p w14:paraId="D40C0000">
      <w:pPr>
        <w:keepNext w:val="1"/>
        <w:ind/>
        <w:jc w:val="right"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к пояснительной записке </w:t>
      </w:r>
    </w:p>
    <w:p w14:paraId="D50C0000">
      <w:pPr>
        <w:keepNext w:val="1"/>
        <w:ind/>
        <w:jc w:val="center"/>
        <w:outlineLvl w:val="1"/>
      </w:pPr>
    </w:p>
    <w:p w14:paraId="D60C0000">
      <w:pPr>
        <w:keepNext w:val="1"/>
        <w:ind/>
        <w:jc w:val="center"/>
        <w:outlineLvl w:val="1"/>
        <w:rPr>
          <w:b w:val="1"/>
        </w:rPr>
      </w:pPr>
    </w:p>
    <w:p w14:paraId="D70C0000">
      <w:pPr>
        <w:keepNext w:val="1"/>
        <w:ind/>
        <w:outlineLvl w:val="1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Расчет</w:t>
      </w:r>
    </w:p>
    <w:p w14:paraId="D80C0000">
      <w:pPr>
        <w:ind/>
        <w:jc w:val="center"/>
        <w:rPr>
          <w:sz w:val="28"/>
        </w:rPr>
      </w:pPr>
      <w:r>
        <w:rPr>
          <w:sz w:val="28"/>
        </w:rPr>
        <w:t xml:space="preserve">поступлений  в бюджет поселения  штрафов, неустоек, пеней и платежей, а также средств, поступающих в целях возмещения вреда окружающей среде на 2024 год и плановый период 2025 и 2026 годов  </w:t>
      </w:r>
    </w:p>
    <w:p w14:paraId="D90C0000">
      <w:pPr>
        <w:ind/>
        <w:jc w:val="center"/>
        <w:rPr>
          <w:sz w:val="28"/>
        </w:rPr>
      </w:pPr>
    </w:p>
    <w:p w14:paraId="DA0C0000">
      <w:pPr>
        <w:tabs>
          <w:tab w:leader="none" w:pos="8931" w:val="righ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тыс. рублей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4"/>
        <w:gridCol w:w="4890"/>
        <w:gridCol w:w="1440"/>
        <w:gridCol w:w="1440"/>
        <w:gridCol w:w="1260"/>
      </w:tblGrid>
      <w:tr>
        <w:trPr>
          <w:trHeight w:hRule="atLeast" w:val="548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C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DC0C0000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/п</w:t>
            </w:r>
          </w:p>
        </w:tc>
        <w:tc>
          <w:tcPr>
            <w:tcW w:type="dxa" w:w="4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  <w:p w14:paraId="DE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  <w:tr>
        <w:trPr>
          <w:trHeight w:hRule="atLeast" w:val="816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C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C0000">
            <w:pPr>
              <w:rPr>
                <w:sz w:val="28"/>
              </w:rPr>
            </w:pPr>
            <w:r>
              <w:rPr>
                <w:sz w:val="28"/>
              </w:rPr>
              <w:t xml:space="preserve">Налоговый потенциал 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C0000">
            <w:pPr>
              <w:ind/>
              <w:jc w:val="center"/>
              <w:rPr>
                <w:sz w:val="28"/>
              </w:rPr>
            </w:pPr>
          </w:p>
          <w:p w14:paraId="E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C0000">
            <w:pPr>
              <w:ind/>
              <w:jc w:val="center"/>
              <w:rPr>
                <w:sz w:val="28"/>
              </w:rPr>
            </w:pPr>
          </w:p>
          <w:p w14:paraId="E7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C0000">
            <w:pPr>
              <w:ind/>
              <w:jc w:val="center"/>
              <w:rPr>
                <w:sz w:val="28"/>
              </w:rPr>
            </w:pPr>
          </w:p>
          <w:p w14:paraId="E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</w:tbl>
    <w:p w14:paraId="EA0C0000">
      <w:pPr>
        <w:pStyle w:val="Style_6"/>
        <w:spacing w:after="0" w:line="276" w:lineRule="auto"/>
        <w:ind/>
        <w:rPr>
          <w:sz w:val="28"/>
        </w:rPr>
      </w:pPr>
    </w:p>
    <w:sectPr>
      <w:footerReference r:id="rId3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1">
    <w:lvl w:ilvl="0">
      <w:start w:val="1"/>
      <w:numFmt w:val="decimal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leader="none" w:pos="0" w:val="left"/>
        </w:tabs>
        <w:ind w:hanging="720" w:left="495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4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4188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pStyle w:val="Style_16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65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77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5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72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8">
    <w:lvl w:ilvl="0">
      <w:start w:val="1"/>
      <w:numFmt w:val="decimal"/>
      <w:pStyle w:val="Style_234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WW8Num5z2"/>
    <w:link w:val="Style_11_ch"/>
    <w:rPr>
      <w:rFonts w:ascii="Symbol" w:hAnsi="Symbol"/>
    </w:rPr>
  </w:style>
  <w:style w:styleId="Style_11_ch" w:type="character">
    <w:name w:val="WW8Num5z2"/>
    <w:link w:val="Style_11"/>
    <w:rPr>
      <w:rFonts w:ascii="Symbol" w:hAnsi="Symbol"/>
    </w:rPr>
  </w:style>
  <w:style w:styleId="Style_12" w:type="paragraph">
    <w:name w:val="Default Paragraph Font1"/>
    <w:link w:val="Style_12_ch"/>
  </w:style>
  <w:style w:styleId="Style_12_ch" w:type="character">
    <w:name w:val="Default Paragraph Font1"/>
    <w:link w:val="Style_12"/>
  </w:style>
  <w:style w:styleId="Style_13" w:type="paragraph">
    <w:name w:val="Footnote Reference1"/>
    <w:link w:val="Style_13_ch"/>
    <w:rPr>
      <w:vertAlign w:val="superscript"/>
    </w:rPr>
  </w:style>
  <w:style w:styleId="Style_13_ch" w:type="character">
    <w:name w:val="Footnote Reference1"/>
    <w:link w:val="Style_13"/>
    <w:rPr>
      <w:vertAlign w:val="superscript"/>
    </w:rPr>
  </w:style>
  <w:style w:styleId="Style_14" w:type="paragraph">
    <w:name w:val="Знак Знак3 Знак Знак"/>
    <w:basedOn w:val="Style_10"/>
    <w:link w:val="Style_1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4_ch" w:type="character">
    <w:name w:val="Знак Знак3 Знак Знак"/>
    <w:basedOn w:val="Style_10_ch"/>
    <w:link w:val="Style_14"/>
    <w:rPr>
      <w:rFonts w:ascii="Verdana" w:hAnsi="Verdana"/>
      <w:sz w:val="20"/>
    </w:rPr>
  </w:style>
  <w:style w:styleId="Style_15" w:type="paragraph">
    <w:name w:val="Номер страницы1"/>
    <w:basedOn w:val="Style_16"/>
    <w:link w:val="Style_15_ch"/>
  </w:style>
  <w:style w:styleId="Style_15_ch" w:type="character">
    <w:name w:val="Номер страницы1"/>
    <w:basedOn w:val="Style_16_ch"/>
    <w:link w:val="Style_15"/>
  </w:style>
  <w:style w:styleId="Style_17" w:type="paragraph">
    <w:name w:val="Absatz-Standardschriftart"/>
    <w:link w:val="Style_17_ch"/>
  </w:style>
  <w:style w:styleId="Style_17_ch" w:type="character">
    <w:name w:val="Absatz-Standardschriftart"/>
    <w:link w:val="Style_17"/>
  </w:style>
  <w:style w:styleId="Style_18" w:type="paragraph">
    <w:name w:val="Normal (Web)"/>
    <w:basedOn w:val="Style_10"/>
    <w:link w:val="Style_18_ch"/>
    <w:pPr>
      <w:spacing w:after="280" w:before="280"/>
      <w:ind/>
    </w:pPr>
  </w:style>
  <w:style w:styleId="Style_18_ch" w:type="character">
    <w:name w:val="Normal (Web)"/>
    <w:basedOn w:val="Style_10_ch"/>
    <w:link w:val="Style_18"/>
  </w:style>
  <w:style w:styleId="Style_19" w:type="paragraph">
    <w:name w:val="Основной текст с отступом 31"/>
    <w:basedOn w:val="Style_10"/>
    <w:link w:val="Style_19_ch"/>
    <w:pPr>
      <w:spacing w:after="120"/>
      <w:ind w:firstLine="0" w:left="283"/>
    </w:pPr>
    <w:rPr>
      <w:sz w:val="16"/>
    </w:rPr>
  </w:style>
  <w:style w:styleId="Style_19_ch" w:type="character">
    <w:name w:val="Основной текст с отступом 31"/>
    <w:basedOn w:val="Style_10_ch"/>
    <w:link w:val="Style_19"/>
    <w:rPr>
      <w:sz w:val="16"/>
    </w:rPr>
  </w:style>
  <w:style w:styleId="Style_20" w:type="paragraph">
    <w:name w:val="Заголовок"/>
    <w:basedOn w:val="Style_10"/>
    <w:next w:val="Style_6"/>
    <w:link w:val="Style_20_ch"/>
    <w:pPr>
      <w:keepNext w:val="1"/>
      <w:spacing w:after="120" w:before="240"/>
      <w:ind/>
    </w:pPr>
    <w:rPr>
      <w:rFonts w:ascii="Arial" w:hAnsi="Arial"/>
      <w:sz w:val="28"/>
    </w:rPr>
  </w:style>
  <w:style w:styleId="Style_20_ch" w:type="character">
    <w:name w:val="Заголовок"/>
    <w:basedOn w:val="Style_10_ch"/>
    <w:link w:val="Style_20"/>
    <w:rPr>
      <w:rFonts w:ascii="Arial" w:hAnsi="Arial"/>
      <w:sz w:val="28"/>
    </w:rPr>
  </w:style>
  <w:style w:styleId="Style_21" w:type="paragraph">
    <w:name w:val="WW8Num18z1"/>
    <w:link w:val="Style_21_ch"/>
  </w:style>
  <w:style w:styleId="Style_21_ch" w:type="character">
    <w:name w:val="WW8Num18z1"/>
    <w:link w:val="Style_21"/>
  </w:style>
  <w:style w:styleId="Style_22" w:type="paragraph">
    <w:name w:val="toc 2"/>
    <w:basedOn w:val="Style_10"/>
    <w:next w:val="Style_10"/>
    <w:link w:val="Style_22_ch"/>
    <w:uiPriority w:val="39"/>
    <w:pPr>
      <w:ind w:firstLine="0" w:left="200"/>
    </w:pPr>
    <w:rPr>
      <w:rFonts w:ascii="XO Thames" w:hAnsi="XO Thames"/>
      <w:sz w:val="28"/>
    </w:rPr>
  </w:style>
  <w:style w:styleId="Style_22_ch" w:type="character">
    <w:name w:val="toc 2"/>
    <w:basedOn w:val="Style_10_ch"/>
    <w:link w:val="Style_22"/>
    <w:rPr>
      <w:rFonts w:ascii="XO Thames" w:hAnsi="XO Thames"/>
      <w:sz w:val="28"/>
    </w:rPr>
  </w:style>
  <w:style w:styleId="Style_23" w:type="paragraph">
    <w:name w:val="Основной текст + 8 pt"/>
    <w:link w:val="Style_23_ch"/>
    <w:rPr>
      <w:spacing w:val="1"/>
      <w:sz w:val="16"/>
    </w:rPr>
  </w:style>
  <w:style w:styleId="Style_23_ch" w:type="character">
    <w:name w:val="Основной текст + 8 pt"/>
    <w:link w:val="Style_23"/>
    <w:rPr>
      <w:spacing w:val="1"/>
      <w:sz w:val="16"/>
    </w:rPr>
  </w:style>
  <w:style w:styleId="Style_24" w:type="paragraph">
    <w:name w:val="pre"/>
    <w:link w:val="Style_24_ch"/>
  </w:style>
  <w:style w:styleId="Style_24_ch" w:type="character">
    <w:name w:val="pre"/>
    <w:link w:val="Style_24"/>
  </w:style>
  <w:style w:styleId="Style_25" w:type="paragraph">
    <w:name w:val="WW8Num34z0"/>
    <w:link w:val="Style_25_ch"/>
    <w:rPr>
      <w:rFonts w:ascii="Symbol" w:hAnsi="Symbol"/>
    </w:rPr>
  </w:style>
  <w:style w:styleId="Style_25_ch" w:type="character">
    <w:name w:val="WW8Num34z0"/>
    <w:link w:val="Style_25"/>
    <w:rPr>
      <w:rFonts w:ascii="Symbol" w:hAnsi="Symbol"/>
    </w:rPr>
  </w:style>
  <w:style w:styleId="Style_26" w:type="paragraph">
    <w:name w:val="WW8Num33z0"/>
    <w:link w:val="Style_26_ch"/>
    <w:rPr>
      <w:rFonts w:ascii="Symbol" w:hAnsi="Symbol"/>
    </w:rPr>
  </w:style>
  <w:style w:styleId="Style_26_ch" w:type="character">
    <w:name w:val="WW8Num33z0"/>
    <w:link w:val="Style_26"/>
    <w:rPr>
      <w:rFonts w:ascii="Symbol" w:hAnsi="Symbol"/>
    </w:rPr>
  </w:style>
  <w:style w:styleId="Style_27" w:type="paragraph">
    <w:name w:val="Body Text Indent 2"/>
    <w:basedOn w:val="Style_10"/>
    <w:link w:val="Style_27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27_ch" w:type="character">
    <w:name w:val="Body Text Indent 2"/>
    <w:basedOn w:val="Style_10_ch"/>
    <w:link w:val="Style_27"/>
    <w:rPr>
      <w:b w:val="1"/>
      <w:sz w:val="28"/>
    </w:rPr>
  </w:style>
  <w:style w:styleId="Style_28" w:type="paragraph">
    <w:name w:val="ConsPlusCell"/>
    <w:link w:val="Style_28_ch"/>
    <w:pPr>
      <w:widowControl w:val="0"/>
      <w:ind/>
    </w:pPr>
    <w:rPr>
      <w:sz w:val="28"/>
    </w:rPr>
  </w:style>
  <w:style w:styleId="Style_28_ch" w:type="character">
    <w:name w:val="ConsPlusCell"/>
    <w:link w:val="Style_28"/>
    <w:rPr>
      <w:sz w:val="28"/>
    </w:rPr>
  </w:style>
  <w:style w:styleId="Style_29" w:type="paragraph">
    <w:name w:val="WW8Num33z1"/>
    <w:link w:val="Style_29_ch"/>
    <w:rPr>
      <w:rFonts w:ascii="Courier New" w:hAnsi="Courier New"/>
    </w:rPr>
  </w:style>
  <w:style w:styleId="Style_29_ch" w:type="character">
    <w:name w:val="WW8Num33z1"/>
    <w:link w:val="Style_29"/>
    <w:rPr>
      <w:rFonts w:ascii="Courier New" w:hAnsi="Courier New"/>
    </w:rPr>
  </w:style>
  <w:style w:styleId="Style_30" w:type="paragraph">
    <w:name w:val="toc 4"/>
    <w:basedOn w:val="Style_10"/>
    <w:next w:val="Style_10"/>
    <w:link w:val="Style_30_ch"/>
    <w:uiPriority w:val="39"/>
    <w:pPr>
      <w:ind w:firstLine="0" w:left="600"/>
    </w:pPr>
    <w:rPr>
      <w:rFonts w:ascii="XO Thames" w:hAnsi="XO Thames"/>
      <w:sz w:val="28"/>
    </w:rPr>
  </w:style>
  <w:style w:styleId="Style_30_ch" w:type="character">
    <w:name w:val="toc 4"/>
    <w:basedOn w:val="Style_10_ch"/>
    <w:link w:val="Style_30"/>
    <w:rPr>
      <w:rFonts w:ascii="XO Thames" w:hAnsi="XO Thames"/>
      <w:sz w:val="28"/>
    </w:rPr>
  </w:style>
  <w:style w:styleId="Style_31" w:type="paragraph">
    <w:name w:val="Знак12"/>
    <w:basedOn w:val="Style_10"/>
    <w:link w:val="Style_31_ch"/>
    <w:pPr>
      <w:spacing w:after="160" w:line="240" w:lineRule="exact"/>
      <w:ind/>
    </w:pPr>
    <w:rPr>
      <w:rFonts w:ascii="Verdana" w:hAnsi="Verdana"/>
      <w:sz w:val="20"/>
    </w:rPr>
  </w:style>
  <w:style w:styleId="Style_31_ch" w:type="character">
    <w:name w:val="Знак12"/>
    <w:basedOn w:val="Style_10_ch"/>
    <w:link w:val="Style_31"/>
    <w:rPr>
      <w:rFonts w:ascii="Verdana" w:hAnsi="Verdana"/>
      <w:sz w:val="20"/>
    </w:rPr>
  </w:style>
  <w:style w:styleId="Style_32" w:type="paragraph">
    <w:name w:val="Основной шрифт абзаца4"/>
    <w:link w:val="Style_32_ch"/>
  </w:style>
  <w:style w:styleId="Style_32_ch" w:type="character">
    <w:name w:val="Основной шрифт абзаца4"/>
    <w:link w:val="Style_32"/>
  </w:style>
  <w:style w:styleId="Style_33" w:type="paragraph">
    <w:name w:val="Красная строка 2 Знак1"/>
    <w:basedOn w:val="Style_34"/>
    <w:link w:val="Style_33_ch"/>
  </w:style>
  <w:style w:styleId="Style_33_ch" w:type="character">
    <w:name w:val="Красная строка 2 Знак1"/>
    <w:basedOn w:val="Style_34_ch"/>
    <w:link w:val="Style_33"/>
  </w:style>
  <w:style w:styleId="Style_35" w:type="paragraph">
    <w:name w:val="heading 7"/>
    <w:basedOn w:val="Style_10"/>
    <w:next w:val="Style_10"/>
    <w:link w:val="Style_35_ch"/>
    <w:uiPriority w:val="9"/>
    <w:qFormat/>
    <w:pPr>
      <w:keepNext w:val="1"/>
      <w:numPr>
        <w:ilvl w:val="6"/>
        <w:numId w:val="8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5_ch" w:type="character">
    <w:name w:val="heading 7"/>
    <w:basedOn w:val="Style_10_ch"/>
    <w:link w:val="Style_35"/>
    <w:rPr>
      <w:rFonts w:ascii="Arial" w:hAnsi="Arial"/>
      <w:b w:val="1"/>
      <w:i w:val="1"/>
      <w:sz w:val="22"/>
    </w:rPr>
  </w:style>
  <w:style w:styleId="Style_36" w:type="paragraph">
    <w:name w:val="Знак примечания2"/>
    <w:link w:val="Style_36_ch"/>
    <w:rPr>
      <w:sz w:val="16"/>
    </w:rPr>
  </w:style>
  <w:style w:styleId="Style_36_ch" w:type="character">
    <w:name w:val="Знак примечания2"/>
    <w:link w:val="Style_36"/>
    <w:rPr>
      <w:sz w:val="16"/>
    </w:rPr>
  </w:style>
  <w:style w:styleId="Style_37" w:type="paragraph">
    <w:name w:val="Default Paragraph Font12"/>
    <w:link w:val="Style_37_ch"/>
  </w:style>
  <w:style w:styleId="Style_37_ch" w:type="character">
    <w:name w:val="Default Paragraph Font12"/>
    <w:link w:val="Style_37"/>
  </w:style>
  <w:style w:styleId="Style_38" w:type="paragraph">
    <w:name w:val="Основной шрифт абзаца2"/>
    <w:link w:val="Style_38_ch"/>
  </w:style>
  <w:style w:styleId="Style_38_ch" w:type="character">
    <w:name w:val="Основной шрифт абзаца2"/>
    <w:link w:val="Style_38"/>
  </w:style>
  <w:style w:styleId="Style_39" w:type="paragraph">
    <w:name w:val="toc 6"/>
    <w:basedOn w:val="Style_10"/>
    <w:next w:val="Style_10"/>
    <w:link w:val="Style_39_ch"/>
    <w:uiPriority w:val="39"/>
    <w:pPr>
      <w:ind w:firstLine="0" w:left="1000"/>
    </w:pPr>
    <w:rPr>
      <w:rFonts w:ascii="XO Thames" w:hAnsi="XO Thames"/>
      <w:sz w:val="28"/>
    </w:rPr>
  </w:style>
  <w:style w:styleId="Style_39_ch" w:type="character">
    <w:name w:val="toc 6"/>
    <w:basedOn w:val="Style_10_ch"/>
    <w:link w:val="Style_39"/>
    <w:rPr>
      <w:rFonts w:ascii="XO Thames" w:hAnsi="XO Thames"/>
      <w:sz w:val="28"/>
    </w:rPr>
  </w:style>
  <w:style w:styleId="Style_40" w:type="paragraph">
    <w:name w:val="WW8Num1z6"/>
    <w:link w:val="Style_40_ch"/>
  </w:style>
  <w:style w:styleId="Style_40_ch" w:type="character">
    <w:name w:val="WW8Num1z6"/>
    <w:link w:val="Style_40"/>
  </w:style>
  <w:style w:styleId="Style_41" w:type="paragraph">
    <w:name w:val="Основной текст с отступом 3 Знак1"/>
    <w:link w:val="Style_41_ch"/>
    <w:rPr>
      <w:sz w:val="16"/>
    </w:rPr>
  </w:style>
  <w:style w:styleId="Style_41_ch" w:type="character">
    <w:name w:val="Основной текст с отступом 3 Знак1"/>
    <w:link w:val="Style_41"/>
    <w:rPr>
      <w:sz w:val="16"/>
    </w:rPr>
  </w:style>
  <w:style w:styleId="Style_42" w:type="paragraph">
    <w:name w:val="WW8Num3z0"/>
    <w:link w:val="Style_42_ch"/>
    <w:rPr>
      <w:rFonts w:ascii="Symbol" w:hAnsi="Symbol"/>
    </w:rPr>
  </w:style>
  <w:style w:styleId="Style_42_ch" w:type="character">
    <w:name w:val="WW8Num3z0"/>
    <w:link w:val="Style_42"/>
    <w:rPr>
      <w:rFonts w:ascii="Symbol" w:hAnsi="Symbol"/>
    </w:rPr>
  </w:style>
  <w:style w:styleId="Style_43" w:type="paragraph">
    <w:name w:val="toc 7"/>
    <w:basedOn w:val="Style_10"/>
    <w:next w:val="Style_10"/>
    <w:link w:val="Style_43_ch"/>
    <w:uiPriority w:val="39"/>
    <w:pPr>
      <w:ind w:firstLine="0" w:left="1200"/>
    </w:pPr>
    <w:rPr>
      <w:rFonts w:ascii="XO Thames" w:hAnsi="XO Thames"/>
      <w:sz w:val="28"/>
    </w:rPr>
  </w:style>
  <w:style w:styleId="Style_43_ch" w:type="character">
    <w:name w:val="toc 7"/>
    <w:basedOn w:val="Style_10_ch"/>
    <w:link w:val="Style_43"/>
    <w:rPr>
      <w:rFonts w:ascii="XO Thames" w:hAnsi="XO Thames"/>
      <w:sz w:val="28"/>
    </w:rPr>
  </w:style>
  <w:style w:styleId="Style_44" w:type="paragraph">
    <w:name w:val="Основной текст Знак1"/>
    <w:link w:val="Style_44_ch"/>
    <w:rPr>
      <w:sz w:val="24"/>
    </w:rPr>
  </w:style>
  <w:style w:styleId="Style_44_ch" w:type="character">
    <w:name w:val="Основной текст Знак1"/>
    <w:link w:val="Style_44"/>
    <w:rPr>
      <w:sz w:val="24"/>
    </w:rPr>
  </w:style>
  <w:style w:styleId="Style_45" w:type="paragraph">
    <w:name w:val="Гиперссылка14"/>
    <w:link w:val="Style_45_ch"/>
    <w:rPr>
      <w:color w:val="0000FF"/>
      <w:u w:val="single"/>
    </w:rPr>
  </w:style>
  <w:style w:styleId="Style_45_ch" w:type="character">
    <w:name w:val="Гиперссылка14"/>
    <w:link w:val="Style_45"/>
    <w:rPr>
      <w:color w:val="0000FF"/>
      <w:u w:val="single"/>
    </w:rPr>
  </w:style>
  <w:style w:styleId="Style_46" w:type="paragraph">
    <w:name w:val="Основной текст1"/>
    <w:basedOn w:val="Style_10"/>
    <w:link w:val="Style_46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46_ch" w:type="character">
    <w:name w:val="Основной текст1"/>
    <w:basedOn w:val="Style_10_ch"/>
    <w:link w:val="Style_46"/>
    <w:rPr>
      <w:spacing w:val="-1"/>
      <w:sz w:val="26"/>
    </w:rPr>
  </w:style>
  <w:style w:styleId="Style_47" w:type="paragraph">
    <w:name w:val="Основной текст с отступом.Нумерованный список !!.Надин стиль"/>
    <w:basedOn w:val="Style_10"/>
    <w:link w:val="Style_47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47_ch" w:type="character">
    <w:name w:val="Основной текст с отступом.Нумерованный список !!.Надин стиль"/>
    <w:basedOn w:val="Style_10_ch"/>
    <w:link w:val="Style_47"/>
    <w:rPr>
      <w:sz w:val="28"/>
    </w:rPr>
  </w:style>
  <w:style w:styleId="Style_48" w:type="paragraph">
    <w:name w:val="Подпись к таблице"/>
    <w:basedOn w:val="Style_10"/>
    <w:link w:val="Style_48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48_ch" w:type="character">
    <w:name w:val="Подпись к таблице"/>
    <w:basedOn w:val="Style_10_ch"/>
    <w:link w:val="Style_48"/>
    <w:rPr>
      <w:b w:val="1"/>
      <w:spacing w:val="-5"/>
      <w:sz w:val="23"/>
    </w:rPr>
  </w:style>
  <w:style w:styleId="Style_49" w:type="paragraph">
    <w:name w:val="WW8Num21z1"/>
    <w:link w:val="Style_49_ch"/>
  </w:style>
  <w:style w:styleId="Style_49_ch" w:type="character">
    <w:name w:val="WW8Num21z1"/>
    <w:link w:val="Style_49"/>
  </w:style>
  <w:style w:styleId="Style_50" w:type="paragraph">
    <w:name w:val="Прижатый влево"/>
    <w:basedOn w:val="Style_10"/>
    <w:next w:val="Style_10"/>
    <w:link w:val="Style_50_ch"/>
    <w:rPr>
      <w:rFonts w:ascii="Arial" w:hAnsi="Arial"/>
    </w:rPr>
  </w:style>
  <w:style w:styleId="Style_50_ch" w:type="character">
    <w:name w:val="Прижатый влево"/>
    <w:basedOn w:val="Style_10_ch"/>
    <w:link w:val="Style_50"/>
    <w:rPr>
      <w:rFonts w:ascii="Arial" w:hAnsi="Arial"/>
    </w:rPr>
  </w:style>
  <w:style w:styleId="Style_51" w:type="paragraph">
    <w:name w:val="Comment Reference1"/>
    <w:link w:val="Style_51_ch"/>
    <w:rPr>
      <w:sz w:val="16"/>
    </w:rPr>
  </w:style>
  <w:style w:styleId="Style_51_ch" w:type="character">
    <w:name w:val="Comment Reference1"/>
    <w:link w:val="Style_51"/>
    <w:rPr>
      <w:sz w:val="16"/>
    </w:rPr>
  </w:style>
  <w:style w:styleId="Style_52" w:type="paragraph">
    <w:name w:val="Знак Знак41"/>
    <w:link w:val="Style_52_ch"/>
    <w:rPr>
      <w:sz w:val="24"/>
    </w:rPr>
  </w:style>
  <w:style w:styleId="Style_52_ch" w:type="character">
    <w:name w:val="Знак Знак41"/>
    <w:link w:val="Style_52"/>
    <w:rPr>
      <w:sz w:val="24"/>
    </w:rPr>
  </w:style>
  <w:style w:styleId="Style_53" w:type="paragraph">
    <w:name w:val="Символ сноски"/>
    <w:link w:val="Style_53_ch"/>
    <w:rPr>
      <w:vertAlign w:val="superscript"/>
    </w:rPr>
  </w:style>
  <w:style w:styleId="Style_53_ch" w:type="character">
    <w:name w:val="Символ сноски"/>
    <w:link w:val="Style_53"/>
    <w:rPr>
      <w:vertAlign w:val="superscript"/>
    </w:rPr>
  </w:style>
  <w:style w:styleId="Style_54" w:type="paragraph">
    <w:name w:val="Body Text 3"/>
    <w:basedOn w:val="Style_10"/>
    <w:link w:val="Style_54_ch"/>
    <w:pPr>
      <w:spacing w:after="120"/>
      <w:ind/>
    </w:pPr>
    <w:rPr>
      <w:sz w:val="16"/>
    </w:rPr>
  </w:style>
  <w:style w:styleId="Style_54_ch" w:type="character">
    <w:name w:val="Body Text 3"/>
    <w:basedOn w:val="Style_10_ch"/>
    <w:link w:val="Style_54"/>
    <w:rPr>
      <w:sz w:val="16"/>
    </w:rPr>
  </w:style>
  <w:style w:styleId="Style_55" w:type="paragraph">
    <w:name w:val="Footer Char"/>
    <w:basedOn w:val="Style_56"/>
    <w:link w:val="Style_55_ch"/>
    <w:rPr>
      <w:sz w:val="24"/>
    </w:rPr>
  </w:style>
  <w:style w:styleId="Style_55_ch" w:type="character">
    <w:name w:val="Footer Char"/>
    <w:basedOn w:val="Style_56_ch"/>
    <w:link w:val="Style_55"/>
    <w:rPr>
      <w:sz w:val="24"/>
    </w:rPr>
  </w:style>
  <w:style w:styleId="Style_57" w:type="paragraph">
    <w:name w:val="Нижний колонтитул Знак"/>
    <w:link w:val="Style_57_ch"/>
    <w:rPr>
      <w:sz w:val="24"/>
    </w:rPr>
  </w:style>
  <w:style w:styleId="Style_57_ch" w:type="character">
    <w:name w:val="Нижний колонтитул Знак"/>
    <w:link w:val="Style_57"/>
    <w:rPr>
      <w:sz w:val="24"/>
    </w:rPr>
  </w:style>
  <w:style w:styleId="Style_58" w:type="paragraph">
    <w:name w:val="WW8Num21z0"/>
    <w:link w:val="Style_58_ch"/>
    <w:rPr>
      <w:b w:val="1"/>
      <w:i w:val="1"/>
    </w:rPr>
  </w:style>
  <w:style w:styleId="Style_58_ch" w:type="character">
    <w:name w:val="WW8Num21z0"/>
    <w:link w:val="Style_58"/>
    <w:rPr>
      <w:b w:val="1"/>
      <w:i w:val="1"/>
    </w:rPr>
  </w:style>
  <w:style w:styleId="Style_34" w:type="paragraph">
    <w:name w:val="Body Text Indent"/>
    <w:basedOn w:val="Style_10"/>
    <w:link w:val="Style_34_ch"/>
    <w:pPr>
      <w:spacing w:after="120"/>
      <w:ind w:firstLine="0" w:left="283"/>
    </w:pPr>
  </w:style>
  <w:style w:styleId="Style_34_ch" w:type="character">
    <w:name w:val="Body Text Indent"/>
    <w:basedOn w:val="Style_10_ch"/>
    <w:link w:val="Style_34"/>
  </w:style>
  <w:style w:styleId="Style_59" w:type="paragraph">
    <w:name w:val="heading 3"/>
    <w:basedOn w:val="Style_10"/>
    <w:next w:val="Style_10"/>
    <w:link w:val="Style_5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9_ch" w:type="character">
    <w:name w:val="heading 3"/>
    <w:basedOn w:val="Style_10_ch"/>
    <w:link w:val="Style_59"/>
    <w:rPr>
      <w:rFonts w:ascii="XO Thames" w:hAnsi="XO Thames"/>
      <w:b w:val="1"/>
      <w:sz w:val="26"/>
    </w:rPr>
  </w:style>
  <w:style w:styleId="Style_60" w:type="paragraph">
    <w:name w:val="WW8Num19z0"/>
    <w:link w:val="Style_60_ch"/>
  </w:style>
  <w:style w:styleId="Style_60_ch" w:type="character">
    <w:name w:val="WW8Num19z0"/>
    <w:link w:val="Style_60"/>
  </w:style>
  <w:style w:styleId="Style_61" w:type="paragraph">
    <w:name w:val="Основной текст_"/>
    <w:link w:val="Style_61_ch"/>
    <w:rPr>
      <w:spacing w:val="-1"/>
      <w:sz w:val="26"/>
    </w:rPr>
  </w:style>
  <w:style w:styleId="Style_61_ch" w:type="character">
    <w:name w:val="Основной текст_"/>
    <w:link w:val="Style_61"/>
    <w:rPr>
      <w:spacing w:val="-1"/>
      <w:sz w:val="26"/>
    </w:rPr>
  </w:style>
  <w:style w:styleId="Style_62" w:type="paragraph">
    <w:name w:val="WW8Num13z2"/>
    <w:link w:val="Style_62_ch"/>
    <w:rPr>
      <w:rFonts w:ascii="Wingdings" w:hAnsi="Wingdings"/>
    </w:rPr>
  </w:style>
  <w:style w:styleId="Style_62_ch" w:type="character">
    <w:name w:val="WW8Num13z2"/>
    <w:link w:val="Style_62"/>
    <w:rPr>
      <w:rFonts w:ascii="Wingdings" w:hAnsi="Wingdings"/>
    </w:rPr>
  </w:style>
  <w:style w:styleId="Style_63" w:type="paragraph">
    <w:name w:val="Знак Знак3 Знак Знак Знак Знак2"/>
    <w:basedOn w:val="Style_10"/>
    <w:link w:val="Style_6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63_ch" w:type="character">
    <w:name w:val="Знак Знак3 Знак Знак Знак Знак2"/>
    <w:basedOn w:val="Style_10_ch"/>
    <w:link w:val="Style_63"/>
    <w:rPr>
      <w:rFonts w:ascii="Verdana" w:hAnsi="Verdana"/>
      <w:sz w:val="20"/>
    </w:rPr>
  </w:style>
  <w:style w:styleId="Style_64" w:type="paragraph">
    <w:name w:val="WW8Num34z1"/>
    <w:link w:val="Style_64_ch"/>
    <w:rPr>
      <w:rFonts w:ascii="Courier New" w:hAnsi="Courier New"/>
    </w:rPr>
  </w:style>
  <w:style w:styleId="Style_64_ch" w:type="character">
    <w:name w:val="WW8Num34z1"/>
    <w:link w:val="Style_64"/>
    <w:rPr>
      <w:rFonts w:ascii="Courier New" w:hAnsi="Courier New"/>
    </w:rPr>
  </w:style>
  <w:style w:styleId="Style_65" w:type="paragraph">
    <w:name w:val="List"/>
    <w:basedOn w:val="Style_6"/>
    <w:link w:val="Style_65_ch"/>
    <w:rPr>
      <w:rFonts w:ascii="Arial" w:hAnsi="Arial"/>
    </w:rPr>
  </w:style>
  <w:style w:styleId="Style_65_ch" w:type="character">
    <w:name w:val="List"/>
    <w:basedOn w:val="Style_6_ch"/>
    <w:link w:val="Style_65"/>
    <w:rPr>
      <w:rFonts w:ascii="Arial" w:hAnsi="Arial"/>
    </w:rPr>
  </w:style>
  <w:style w:styleId="Style_66" w:type="paragraph">
    <w:name w:val="Название2"/>
    <w:basedOn w:val="Style_10"/>
    <w:link w:val="Style_66_ch"/>
    <w:pPr>
      <w:spacing w:after="120" w:before="120"/>
      <w:ind/>
    </w:pPr>
    <w:rPr>
      <w:i w:val="1"/>
    </w:rPr>
  </w:style>
  <w:style w:styleId="Style_66_ch" w:type="character">
    <w:name w:val="Название2"/>
    <w:basedOn w:val="Style_10_ch"/>
    <w:link w:val="Style_66"/>
    <w:rPr>
      <w:i w:val="1"/>
    </w:rPr>
  </w:style>
  <w:style w:styleId="Style_67" w:type="paragraph">
    <w:name w:val="WW8Num30z0"/>
    <w:link w:val="Style_67_ch"/>
  </w:style>
  <w:style w:styleId="Style_67_ch" w:type="character">
    <w:name w:val="WW8Num30z0"/>
    <w:link w:val="Style_67"/>
  </w:style>
  <w:style w:styleId="Style_68" w:type="paragraph">
    <w:name w:val="ConsNormal Знак"/>
    <w:link w:val="Style_68_ch"/>
    <w:rPr>
      <w:rFonts w:ascii="Arial" w:hAnsi="Arial"/>
    </w:rPr>
  </w:style>
  <w:style w:styleId="Style_68_ch" w:type="character">
    <w:name w:val="ConsNormal Знак"/>
    <w:link w:val="Style_68"/>
    <w:rPr>
      <w:rFonts w:ascii="Arial" w:hAnsi="Arial"/>
    </w:rPr>
  </w:style>
  <w:style w:styleId="Style_69" w:type="paragraph">
    <w:name w:val="Тема примечания Знак"/>
    <w:link w:val="Style_69_ch"/>
    <w:rPr>
      <w:b w:val="1"/>
    </w:rPr>
  </w:style>
  <w:style w:styleId="Style_69_ch" w:type="character">
    <w:name w:val="Тема примечания Знак"/>
    <w:link w:val="Style_69"/>
    <w:rPr>
      <w:b w:val="1"/>
    </w:rPr>
  </w:style>
  <w:style w:styleId="Style_70" w:type="paragraph">
    <w:name w:val="Normal1"/>
    <w:link w:val="Style_70_ch"/>
    <w:rPr>
      <w:sz w:val="24"/>
    </w:rPr>
  </w:style>
  <w:style w:styleId="Style_70_ch" w:type="character">
    <w:name w:val="Normal1"/>
    <w:link w:val="Style_70"/>
    <w:rPr>
      <w:sz w:val="24"/>
    </w:rPr>
  </w:style>
  <w:style w:styleId="Style_71" w:type="paragraph">
    <w:name w:val="WW8Num7z0"/>
    <w:link w:val="Style_71_ch"/>
  </w:style>
  <w:style w:styleId="Style_71_ch" w:type="character">
    <w:name w:val="WW8Num7z0"/>
    <w:link w:val="Style_71"/>
  </w:style>
  <w:style w:styleId="Style_72" w:type="paragraph">
    <w:name w:val="WW8Num27z0"/>
    <w:link w:val="Style_72_ch"/>
  </w:style>
  <w:style w:styleId="Style_72_ch" w:type="character">
    <w:name w:val="WW8Num27z0"/>
    <w:link w:val="Style_72"/>
  </w:style>
  <w:style w:styleId="Style_73" w:type="paragraph">
    <w:name w:val="WW8Num6z1"/>
    <w:link w:val="Style_73_ch"/>
    <w:rPr>
      <w:rFonts w:ascii="Courier New" w:hAnsi="Courier New"/>
    </w:rPr>
  </w:style>
  <w:style w:styleId="Style_73_ch" w:type="character">
    <w:name w:val="WW8Num6z1"/>
    <w:link w:val="Style_73"/>
    <w:rPr>
      <w:rFonts w:ascii="Courier New" w:hAnsi="Courier New"/>
    </w:rPr>
  </w:style>
  <w:style w:styleId="Style_74" w:type="paragraph">
    <w:name w:val="subheader"/>
    <w:basedOn w:val="Style_10"/>
    <w:link w:val="Style_74_ch"/>
    <w:pPr>
      <w:spacing w:after="75" w:before="150"/>
      <w:ind/>
    </w:pPr>
    <w:rPr>
      <w:rFonts w:ascii="Arial" w:hAnsi="Arial"/>
      <w:b w:val="1"/>
      <w:sz w:val="18"/>
    </w:rPr>
  </w:style>
  <w:style w:styleId="Style_74_ch" w:type="character">
    <w:name w:val="subheader"/>
    <w:basedOn w:val="Style_10_ch"/>
    <w:link w:val="Style_74"/>
    <w:rPr>
      <w:rFonts w:ascii="Arial" w:hAnsi="Arial"/>
      <w:b w:val="1"/>
      <w:sz w:val="18"/>
    </w:rPr>
  </w:style>
  <w:style w:styleId="Style_75" w:type="paragraph">
    <w:name w:val="Название Знак"/>
    <w:link w:val="Style_75_ch"/>
    <w:rPr>
      <w:sz w:val="28"/>
    </w:rPr>
  </w:style>
  <w:style w:styleId="Style_75_ch" w:type="character">
    <w:name w:val="Название Знак"/>
    <w:link w:val="Style_75"/>
    <w:rPr>
      <w:sz w:val="28"/>
    </w:rPr>
  </w:style>
  <w:style w:styleId="Style_76" w:type="paragraph">
    <w:name w:val="WW8Num19z1"/>
    <w:link w:val="Style_76_ch"/>
    <w:rPr>
      <w:b w:val="1"/>
      <w:i w:val="1"/>
    </w:rPr>
  </w:style>
  <w:style w:styleId="Style_76_ch" w:type="character">
    <w:name w:val="WW8Num19z1"/>
    <w:link w:val="Style_76"/>
    <w:rPr>
      <w:b w:val="1"/>
      <w:i w:val="1"/>
    </w:rPr>
  </w:style>
  <w:style w:styleId="Style_77" w:type="paragraph">
    <w:name w:val="WW-Absatz-Standardschriftart1"/>
    <w:link w:val="Style_77_ch"/>
  </w:style>
  <w:style w:styleId="Style_77_ch" w:type="character">
    <w:name w:val="WW-Absatz-Standardschriftart1"/>
    <w:link w:val="Style_77"/>
  </w:style>
  <w:style w:styleId="Style_78" w:type="paragraph">
    <w:name w:val="WW8Num22z0"/>
    <w:link w:val="Style_78_ch"/>
  </w:style>
  <w:style w:styleId="Style_78_ch" w:type="character">
    <w:name w:val="WW8Num22z0"/>
    <w:link w:val="Style_78"/>
  </w:style>
  <w:style w:styleId="Style_79" w:type="paragraph">
    <w:name w:val="Название объекта1"/>
    <w:basedOn w:val="Style_10"/>
    <w:next w:val="Style_10"/>
    <w:link w:val="Style_79_ch"/>
    <w:rPr>
      <w:b w:val="1"/>
      <w:sz w:val="20"/>
    </w:rPr>
  </w:style>
  <w:style w:styleId="Style_79_ch" w:type="character">
    <w:name w:val="Название объекта1"/>
    <w:basedOn w:val="Style_10_ch"/>
    <w:link w:val="Style_79"/>
    <w:rPr>
      <w:b w:val="1"/>
      <w:sz w:val="20"/>
    </w:rPr>
  </w:style>
  <w:style w:styleId="Style_80" w:type="paragraph">
    <w:name w:val="WW8Num22z3"/>
    <w:link w:val="Style_80_ch"/>
    <w:rPr>
      <w:rFonts w:ascii="Symbol" w:hAnsi="Symbol"/>
    </w:rPr>
  </w:style>
  <w:style w:styleId="Style_80_ch" w:type="character">
    <w:name w:val="WW8Num22z3"/>
    <w:link w:val="Style_80"/>
    <w:rPr>
      <w:rFonts w:ascii="Symbol" w:hAnsi="Symbol"/>
    </w:rPr>
  </w:style>
  <w:style w:styleId="Style_81" w:type="paragraph">
    <w:name w:val="WW8Num32z2"/>
    <w:link w:val="Style_81_ch"/>
    <w:rPr>
      <w:rFonts w:ascii="Wingdings" w:hAnsi="Wingdings"/>
    </w:rPr>
  </w:style>
  <w:style w:styleId="Style_81_ch" w:type="character">
    <w:name w:val="WW8Num32z2"/>
    <w:link w:val="Style_81"/>
    <w:rPr>
      <w:rFonts w:ascii="Wingdings" w:hAnsi="Wingdings"/>
    </w:rPr>
  </w:style>
  <w:style w:styleId="Style_82" w:type="paragraph">
    <w:name w:val="Гиперссылка12"/>
    <w:link w:val="Style_82_ch"/>
    <w:rPr>
      <w:color w:val="0000FF"/>
      <w:u w:val="single"/>
    </w:rPr>
  </w:style>
  <w:style w:styleId="Style_82_ch" w:type="character">
    <w:name w:val="Гиперссылка12"/>
    <w:link w:val="Style_82"/>
    <w:rPr>
      <w:color w:val="0000FF"/>
      <w:u w:val="single"/>
    </w:rPr>
  </w:style>
  <w:style w:styleId="Style_83" w:type="paragraph">
    <w:name w:val="Гиперссылка1"/>
    <w:link w:val="Style_83_ch"/>
    <w:rPr>
      <w:color w:val="0000FF"/>
      <w:u w:val="single"/>
    </w:rPr>
  </w:style>
  <w:style w:styleId="Style_83_ch" w:type="character">
    <w:name w:val="Гиперссылка1"/>
    <w:link w:val="Style_83"/>
    <w:rPr>
      <w:color w:val="0000FF"/>
      <w:u w:val="single"/>
    </w:rPr>
  </w:style>
  <w:style w:styleId="Style_84" w:type="paragraph">
    <w:name w:val="Hyperlink2"/>
    <w:link w:val="Style_84_ch"/>
    <w:rPr>
      <w:color w:val="0000FF"/>
      <w:u w:val="single"/>
    </w:rPr>
  </w:style>
  <w:style w:styleId="Style_84_ch" w:type="character">
    <w:name w:val="Hyperlink2"/>
    <w:link w:val="Style_84"/>
    <w:rPr>
      <w:color w:val="0000FF"/>
      <w:u w:val="single"/>
    </w:rPr>
  </w:style>
  <w:style w:styleId="Style_85" w:type="paragraph">
    <w:name w:val="WW8Num22z4"/>
    <w:link w:val="Style_85_ch"/>
    <w:rPr>
      <w:rFonts w:ascii="Courier New" w:hAnsi="Courier New"/>
    </w:rPr>
  </w:style>
  <w:style w:styleId="Style_85_ch" w:type="character">
    <w:name w:val="WW8Num22z4"/>
    <w:link w:val="Style_85"/>
    <w:rPr>
      <w:rFonts w:ascii="Courier New" w:hAnsi="Courier New"/>
    </w:rPr>
  </w:style>
  <w:style w:styleId="Style_86" w:type="paragraph">
    <w:name w:val="No Spacing1"/>
    <w:link w:val="Style_86_ch"/>
    <w:rPr>
      <w:rFonts w:ascii="Calibri" w:hAnsi="Calibri"/>
    </w:rPr>
  </w:style>
  <w:style w:styleId="Style_86_ch" w:type="character">
    <w:name w:val="No Spacing1"/>
    <w:link w:val="Style_86"/>
    <w:rPr>
      <w:rFonts w:ascii="Calibri" w:hAnsi="Calibri"/>
    </w:rPr>
  </w:style>
  <w:style w:styleId="Style_87" w:type="paragraph">
    <w:name w:val="WW8Num10z0"/>
    <w:link w:val="Style_87_ch"/>
  </w:style>
  <w:style w:styleId="Style_87_ch" w:type="character">
    <w:name w:val="WW8Num10z0"/>
    <w:link w:val="Style_87"/>
  </w:style>
  <w:style w:styleId="Style_88" w:type="paragraph">
    <w:name w:val="WW8Num22z1"/>
    <w:link w:val="Style_88_ch"/>
  </w:style>
  <w:style w:styleId="Style_88_ch" w:type="character">
    <w:name w:val="WW8Num22z1"/>
    <w:link w:val="Style_88"/>
  </w:style>
  <w:style w:styleId="Style_89" w:type="paragraph">
    <w:name w:val="Гиперссылка22"/>
    <w:link w:val="Style_89_ch"/>
    <w:rPr>
      <w:color w:val="0000FF"/>
      <w:u w:val="single"/>
    </w:rPr>
  </w:style>
  <w:style w:styleId="Style_89_ch" w:type="character">
    <w:name w:val="Гиперссылка22"/>
    <w:link w:val="Style_89"/>
    <w:rPr>
      <w:color w:val="0000FF"/>
      <w:u w:val="single"/>
    </w:rPr>
  </w:style>
  <w:style w:styleId="Style_90" w:type="paragraph">
    <w:name w:val="Body Text 2"/>
    <w:basedOn w:val="Style_10"/>
    <w:link w:val="Style_90_ch"/>
    <w:pPr>
      <w:spacing w:after="120" w:line="480" w:lineRule="auto"/>
      <w:ind/>
    </w:pPr>
  </w:style>
  <w:style w:styleId="Style_90_ch" w:type="character">
    <w:name w:val="Body Text 2"/>
    <w:basedOn w:val="Style_10_ch"/>
    <w:link w:val="Style_90"/>
  </w:style>
  <w:style w:styleId="Style_91" w:type="paragraph">
    <w:name w:val="Заголовок 1 Знак"/>
    <w:link w:val="Style_91_ch"/>
    <w:rPr>
      <w:rFonts w:ascii="Arial" w:hAnsi="Arial"/>
      <w:b w:val="1"/>
      <w:sz w:val="32"/>
    </w:rPr>
  </w:style>
  <w:style w:styleId="Style_91_ch" w:type="character">
    <w:name w:val="Заголовок 1 Знак"/>
    <w:link w:val="Style_91"/>
    <w:rPr>
      <w:rFonts w:ascii="Arial" w:hAnsi="Arial"/>
      <w:b w:val="1"/>
      <w:sz w:val="32"/>
    </w:rPr>
  </w:style>
  <w:style w:styleId="Style_92" w:type="paragraph">
    <w:name w:val="Знак Знак10 Знак Знак Знак Знак Знак Знак Знак Знак2"/>
    <w:basedOn w:val="Style_10"/>
    <w:link w:val="Style_92_ch"/>
    <w:pPr>
      <w:spacing w:after="160" w:line="240" w:lineRule="exact"/>
      <w:ind/>
    </w:pPr>
    <w:rPr>
      <w:rFonts w:ascii="Verdana" w:hAnsi="Verdana"/>
      <w:sz w:val="20"/>
    </w:rPr>
  </w:style>
  <w:style w:styleId="Style_92_ch" w:type="character">
    <w:name w:val="Знак Знак10 Знак Знак Знак Знак Знак Знак Знак Знак2"/>
    <w:basedOn w:val="Style_10_ch"/>
    <w:link w:val="Style_92"/>
    <w:rPr>
      <w:rFonts w:ascii="Verdana" w:hAnsi="Verdana"/>
      <w:sz w:val="20"/>
    </w:rPr>
  </w:style>
  <w:style w:styleId="Style_93" w:type="paragraph">
    <w:name w:val="Обычный16"/>
    <w:link w:val="Style_93_ch"/>
    <w:rPr>
      <w:sz w:val="24"/>
    </w:rPr>
  </w:style>
  <w:style w:styleId="Style_93_ch" w:type="character">
    <w:name w:val="Обычный16"/>
    <w:link w:val="Style_93"/>
    <w:rPr>
      <w:sz w:val="24"/>
    </w:rPr>
  </w:style>
  <w:style w:styleId="Style_94" w:type="paragraph">
    <w:name w:val="Абзац списка1"/>
    <w:basedOn w:val="Style_95"/>
    <w:link w:val="Style_94_ch"/>
    <w:rPr>
      <w:rFonts w:ascii="Calibri" w:hAnsi="Calibri"/>
      <w:sz w:val="22"/>
    </w:rPr>
  </w:style>
  <w:style w:styleId="Style_94_ch" w:type="character">
    <w:name w:val="Абзац списка1"/>
    <w:basedOn w:val="Style_95_ch"/>
    <w:link w:val="Style_94"/>
    <w:rPr>
      <w:rFonts w:ascii="Calibri" w:hAnsi="Calibri"/>
      <w:sz w:val="22"/>
    </w:rPr>
  </w:style>
  <w:style w:styleId="Style_96" w:type="paragraph">
    <w:name w:val="Гиперссылка3"/>
    <w:link w:val="Style_96_ch"/>
    <w:rPr>
      <w:color w:val="0000FF"/>
      <w:u w:val="single"/>
    </w:rPr>
  </w:style>
  <w:style w:styleId="Style_96_ch" w:type="character">
    <w:name w:val="Гиперссылка3"/>
    <w:link w:val="Style_96"/>
    <w:rPr>
      <w:color w:val="0000FF"/>
      <w:u w:val="single"/>
    </w:rPr>
  </w:style>
  <w:style w:styleId="Style_97" w:type="paragraph">
    <w:name w:val="WW8Num14z0"/>
    <w:link w:val="Style_97_ch"/>
  </w:style>
  <w:style w:styleId="Style_97_ch" w:type="character">
    <w:name w:val="WW8Num14z0"/>
    <w:link w:val="Style_97"/>
  </w:style>
  <w:style w:styleId="Style_98" w:type="paragraph">
    <w:name w:val="WW8Num8z0"/>
    <w:link w:val="Style_98_ch"/>
  </w:style>
  <w:style w:styleId="Style_98_ch" w:type="character">
    <w:name w:val="WW8Num8z0"/>
    <w:link w:val="Style_98"/>
  </w:style>
  <w:style w:styleId="Style_99" w:type="paragraph">
    <w:name w:val="WW8Num20z1"/>
    <w:link w:val="Style_99_ch"/>
  </w:style>
  <w:style w:styleId="Style_99_ch" w:type="character">
    <w:name w:val="WW8Num20z1"/>
    <w:link w:val="Style_99"/>
  </w:style>
  <w:style w:styleId="Style_7" w:type="paragraph">
    <w:name w:val="No Spacing"/>
    <w:link w:val="Style_7_ch"/>
    <w:rPr>
      <w:rFonts w:ascii="Calibri" w:hAnsi="Calibri"/>
    </w:rPr>
  </w:style>
  <w:style w:styleId="Style_7_ch" w:type="character">
    <w:name w:val="No Spacing"/>
    <w:link w:val="Style_7"/>
    <w:rPr>
      <w:rFonts w:ascii="Calibri" w:hAnsi="Calibri"/>
    </w:rPr>
  </w:style>
  <w:style w:styleId="Style_100" w:type="paragraph">
    <w:name w:val="Знак Знак11"/>
    <w:link w:val="Style_100_ch"/>
    <w:rPr>
      <w:sz w:val="24"/>
    </w:rPr>
  </w:style>
  <w:style w:styleId="Style_100_ch" w:type="character">
    <w:name w:val="Знак Знак11"/>
    <w:link w:val="Style_100"/>
    <w:rPr>
      <w:sz w:val="24"/>
    </w:rPr>
  </w:style>
  <w:style w:styleId="Style_1" w:type="paragraph">
    <w:name w:val="foot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0_ch"/>
    <w:link w:val="Style_1"/>
  </w:style>
  <w:style w:styleId="Style_95" w:type="paragraph">
    <w:name w:val="Обычный13"/>
    <w:link w:val="Style_95_ch"/>
    <w:rPr>
      <w:sz w:val="24"/>
    </w:rPr>
  </w:style>
  <w:style w:styleId="Style_95_ch" w:type="character">
    <w:name w:val="Обычный13"/>
    <w:link w:val="Style_95"/>
    <w:rPr>
      <w:sz w:val="24"/>
    </w:rPr>
  </w:style>
  <w:style w:styleId="Style_101" w:type="paragraph">
    <w:name w:val="Основной текст 21"/>
    <w:basedOn w:val="Style_10"/>
    <w:link w:val="Style_101_ch"/>
    <w:pPr>
      <w:spacing w:after="120" w:line="480" w:lineRule="auto"/>
      <w:ind/>
    </w:pPr>
  </w:style>
  <w:style w:styleId="Style_101_ch" w:type="character">
    <w:name w:val="Основной текст 21"/>
    <w:basedOn w:val="Style_10_ch"/>
    <w:link w:val="Style_101"/>
  </w:style>
  <w:style w:styleId="Style_102" w:type="paragraph">
    <w:name w:val="Указатель2"/>
    <w:basedOn w:val="Style_10"/>
    <w:link w:val="Style_102_ch"/>
  </w:style>
  <w:style w:styleId="Style_102_ch" w:type="character">
    <w:name w:val="Указатель2"/>
    <w:basedOn w:val="Style_10_ch"/>
    <w:link w:val="Style_102"/>
  </w:style>
  <w:style w:styleId="Style_103" w:type="paragraph">
    <w:name w:val="Line Number12"/>
    <w:link w:val="Style_103_ch"/>
  </w:style>
  <w:style w:styleId="Style_103_ch" w:type="character">
    <w:name w:val="Line Number12"/>
    <w:link w:val="Style_103"/>
  </w:style>
  <w:style w:styleId="Style_104" w:type="paragraph">
    <w:name w:val="Основной текст 31"/>
    <w:basedOn w:val="Style_10"/>
    <w:link w:val="Style_104_ch"/>
    <w:pPr>
      <w:spacing w:after="120"/>
      <w:ind/>
    </w:pPr>
    <w:rPr>
      <w:sz w:val="16"/>
    </w:rPr>
  </w:style>
  <w:style w:styleId="Style_104_ch" w:type="character">
    <w:name w:val="Основной текст 31"/>
    <w:basedOn w:val="Style_10_ch"/>
    <w:link w:val="Style_104"/>
    <w:rPr>
      <w:sz w:val="16"/>
    </w:rPr>
  </w:style>
  <w:style w:styleId="Style_105" w:type="paragraph">
    <w:name w:val="WW8Num1z0"/>
    <w:link w:val="Style_105_ch"/>
  </w:style>
  <w:style w:styleId="Style_105_ch" w:type="character">
    <w:name w:val="WW8Num1z0"/>
    <w:link w:val="Style_105"/>
  </w:style>
  <w:style w:styleId="Style_106" w:type="paragraph">
    <w:name w:val="Заголовок 7 Знак"/>
    <w:link w:val="Style_106_ch"/>
    <w:rPr>
      <w:rFonts w:ascii="Arial" w:hAnsi="Arial"/>
      <w:b w:val="1"/>
      <w:i w:val="1"/>
    </w:rPr>
  </w:style>
  <w:style w:styleId="Style_106_ch" w:type="character">
    <w:name w:val="Заголовок 7 Знак"/>
    <w:link w:val="Style_106"/>
    <w:rPr>
      <w:rFonts w:ascii="Arial" w:hAnsi="Arial"/>
      <w:b w:val="1"/>
      <w:i w:val="1"/>
    </w:rPr>
  </w:style>
  <w:style w:styleId="Style_107" w:type="paragraph">
    <w:name w:val="Знак Знак10 Знак Знак Знак Знак Знак Знак Знак Знак"/>
    <w:basedOn w:val="Style_10"/>
    <w:link w:val="Style_107_ch"/>
    <w:pPr>
      <w:spacing w:after="160" w:line="240" w:lineRule="exact"/>
      <w:ind/>
    </w:pPr>
    <w:rPr>
      <w:rFonts w:ascii="Verdana" w:hAnsi="Verdana"/>
      <w:sz w:val="20"/>
    </w:rPr>
  </w:style>
  <w:style w:styleId="Style_107_ch" w:type="character">
    <w:name w:val="Знак Знак10 Знак Знак Знак Знак Знак Знак Знак Знак"/>
    <w:basedOn w:val="Style_10_ch"/>
    <w:link w:val="Style_107"/>
    <w:rPr>
      <w:rFonts w:ascii="Verdana" w:hAnsi="Verdana"/>
      <w:sz w:val="20"/>
    </w:rPr>
  </w:style>
  <w:style w:styleId="Style_108" w:type="paragraph">
    <w:name w:val="WW8Num38z0"/>
    <w:link w:val="Style_108_ch"/>
  </w:style>
  <w:style w:styleId="Style_108_ch" w:type="character">
    <w:name w:val="WW8Num38z0"/>
    <w:link w:val="Style_108"/>
  </w:style>
  <w:style w:styleId="Style_109" w:type="paragraph">
    <w:name w:val="Footer Char2"/>
    <w:link w:val="Style_109_ch"/>
    <w:rPr>
      <w:sz w:val="24"/>
    </w:rPr>
  </w:style>
  <w:style w:styleId="Style_109_ch" w:type="character">
    <w:name w:val="Footer Char2"/>
    <w:link w:val="Style_109"/>
    <w:rPr>
      <w:sz w:val="24"/>
    </w:rPr>
  </w:style>
  <w:style w:styleId="Style_110" w:type="paragraph">
    <w:name w:val="Footnote2"/>
    <w:basedOn w:val="Style_10"/>
    <w:link w:val="Style_110_ch"/>
    <w:rPr>
      <w:sz w:val="20"/>
    </w:rPr>
  </w:style>
  <w:style w:styleId="Style_110_ch" w:type="character">
    <w:name w:val="Footnote2"/>
    <w:basedOn w:val="Style_10_ch"/>
    <w:link w:val="Style_110"/>
    <w:rPr>
      <w:sz w:val="20"/>
    </w:rPr>
  </w:style>
  <w:style w:styleId="Style_111" w:type="paragraph">
    <w:name w:val="Default"/>
    <w:link w:val="Style_111_ch"/>
    <w:rPr>
      <w:sz w:val="24"/>
    </w:rPr>
  </w:style>
  <w:style w:styleId="Style_111_ch" w:type="character">
    <w:name w:val="Default"/>
    <w:link w:val="Style_111"/>
    <w:rPr>
      <w:sz w:val="24"/>
    </w:rPr>
  </w:style>
  <w:style w:styleId="Style_112" w:type="paragraph">
    <w:name w:val="WW8Num15z1"/>
    <w:link w:val="Style_112_ch"/>
    <w:rPr>
      <w:rFonts w:ascii="Courier New" w:hAnsi="Courier New"/>
    </w:rPr>
  </w:style>
  <w:style w:styleId="Style_112_ch" w:type="character">
    <w:name w:val="WW8Num15z1"/>
    <w:link w:val="Style_112"/>
    <w:rPr>
      <w:rFonts w:ascii="Courier New" w:hAnsi="Courier New"/>
    </w:rPr>
  </w:style>
  <w:style w:styleId="Style_113" w:type="paragraph">
    <w:name w:val="Courier14"/>
    <w:basedOn w:val="Style_10"/>
    <w:link w:val="Style_113_ch"/>
    <w:pPr>
      <w:ind w:firstLine="851" w:left="0"/>
      <w:jc w:val="both"/>
    </w:pPr>
    <w:rPr>
      <w:rFonts w:ascii="Courier New" w:hAnsi="Courier New"/>
      <w:sz w:val="28"/>
    </w:rPr>
  </w:style>
  <w:style w:styleId="Style_113_ch" w:type="character">
    <w:name w:val="Courier14"/>
    <w:basedOn w:val="Style_10_ch"/>
    <w:link w:val="Style_113"/>
    <w:rPr>
      <w:rFonts w:ascii="Courier New" w:hAnsi="Courier New"/>
      <w:sz w:val="28"/>
    </w:rPr>
  </w:style>
  <w:style w:styleId="Style_114" w:type="paragraph">
    <w:name w:val="WW8Num28z1"/>
    <w:link w:val="Style_114_ch"/>
    <w:rPr>
      <w:rFonts w:ascii="Courier New" w:hAnsi="Courier New"/>
    </w:rPr>
  </w:style>
  <w:style w:styleId="Style_114_ch" w:type="character">
    <w:name w:val="WW8Num28z1"/>
    <w:link w:val="Style_114"/>
    <w:rPr>
      <w:rFonts w:ascii="Courier New" w:hAnsi="Courier New"/>
    </w:rPr>
  </w:style>
  <w:style w:styleId="Style_115" w:type="paragraph">
    <w:name w:val="WW8Num32z1"/>
    <w:link w:val="Style_115_ch"/>
    <w:rPr>
      <w:rFonts w:ascii="Courier New" w:hAnsi="Courier New"/>
    </w:rPr>
  </w:style>
  <w:style w:styleId="Style_115_ch" w:type="character">
    <w:name w:val="WW8Num32z1"/>
    <w:link w:val="Style_115"/>
    <w:rPr>
      <w:rFonts w:ascii="Courier New" w:hAnsi="Courier New"/>
    </w:rPr>
  </w:style>
  <w:style w:styleId="Style_116" w:type="paragraph">
    <w:name w:val="WW8Num30z1"/>
    <w:link w:val="Style_116_ch"/>
    <w:rPr>
      <w:rFonts w:ascii="Courier New" w:hAnsi="Courier New"/>
    </w:rPr>
  </w:style>
  <w:style w:styleId="Style_116_ch" w:type="character">
    <w:name w:val="WW8Num30z1"/>
    <w:link w:val="Style_116"/>
    <w:rPr>
      <w:rFonts w:ascii="Courier New" w:hAnsi="Courier New"/>
    </w:rPr>
  </w:style>
  <w:style w:styleId="Style_117" w:type="paragraph">
    <w:name w:val="WW8Num11z0"/>
    <w:link w:val="Style_117_ch"/>
  </w:style>
  <w:style w:styleId="Style_117_ch" w:type="character">
    <w:name w:val="WW8Num11z0"/>
    <w:link w:val="Style_117"/>
  </w:style>
  <w:style w:styleId="Style_118" w:type="paragraph">
    <w:name w:val="Знак сноски1"/>
    <w:link w:val="Style_118_ch"/>
    <w:rPr>
      <w:vertAlign w:val="superscript"/>
    </w:rPr>
  </w:style>
  <w:style w:styleId="Style_118_ch" w:type="character">
    <w:name w:val="Знак сноски1"/>
    <w:link w:val="Style_118"/>
    <w:rPr>
      <w:vertAlign w:val="superscript"/>
    </w:rPr>
  </w:style>
  <w:style w:styleId="Style_119" w:type="paragraph">
    <w:name w:val="WW8Num1z3"/>
    <w:link w:val="Style_119_ch"/>
  </w:style>
  <w:style w:styleId="Style_119_ch" w:type="character">
    <w:name w:val="WW8Num1z3"/>
    <w:link w:val="Style_119"/>
  </w:style>
  <w:style w:styleId="Style_120" w:type="paragraph">
    <w:name w:val="List Paragraph1"/>
    <w:basedOn w:val="Style_121"/>
    <w:link w:val="Style_120_ch"/>
    <w:rPr>
      <w:rFonts w:ascii="Calibri" w:hAnsi="Calibri"/>
      <w:sz w:val="22"/>
    </w:rPr>
  </w:style>
  <w:style w:styleId="Style_120_ch" w:type="character">
    <w:name w:val="List Paragraph1"/>
    <w:basedOn w:val="Style_121_ch"/>
    <w:link w:val="Style_120"/>
    <w:rPr>
      <w:rFonts w:ascii="Calibri" w:hAnsi="Calibri"/>
      <w:sz w:val="22"/>
    </w:rPr>
  </w:style>
  <w:style w:styleId="Style_122" w:type="paragraph">
    <w:name w:val="caption"/>
    <w:basedOn w:val="Style_10"/>
    <w:next w:val="Style_10"/>
    <w:link w:val="Style_122_ch"/>
    <w:rPr>
      <w:b w:val="1"/>
      <w:sz w:val="20"/>
    </w:rPr>
  </w:style>
  <w:style w:styleId="Style_122_ch" w:type="character">
    <w:name w:val="caption"/>
    <w:basedOn w:val="Style_10_ch"/>
    <w:link w:val="Style_122"/>
    <w:rPr>
      <w:b w:val="1"/>
      <w:sz w:val="20"/>
    </w:rPr>
  </w:style>
  <w:style w:styleId="Style_123" w:type="paragraph">
    <w:name w:val="Красная строка 21"/>
    <w:basedOn w:val="Style_34"/>
    <w:link w:val="Style_123_ch"/>
    <w:pPr>
      <w:ind w:firstLine="210" w:left="0"/>
    </w:pPr>
  </w:style>
  <w:style w:styleId="Style_123_ch" w:type="character">
    <w:name w:val="Красная строка 21"/>
    <w:basedOn w:val="Style_34_ch"/>
    <w:link w:val="Style_123"/>
  </w:style>
  <w:style w:styleId="Style_124" w:type="paragraph">
    <w:name w:val="WW8Num30z2"/>
    <w:link w:val="Style_124_ch"/>
    <w:rPr>
      <w:rFonts w:ascii="Wingdings" w:hAnsi="Wingdings"/>
    </w:rPr>
  </w:style>
  <w:style w:styleId="Style_124_ch" w:type="character">
    <w:name w:val="WW8Num30z2"/>
    <w:link w:val="Style_124"/>
    <w:rPr>
      <w:rFonts w:ascii="Wingdings" w:hAnsi="Wingdings"/>
    </w:rPr>
  </w:style>
  <w:style w:styleId="Style_125" w:type="paragraph">
    <w:name w:val="WW8Num17z0"/>
    <w:link w:val="Style_125_ch"/>
  </w:style>
  <w:style w:styleId="Style_125_ch" w:type="character">
    <w:name w:val="WW8Num17z0"/>
    <w:link w:val="Style_125"/>
  </w:style>
  <w:style w:styleId="Style_126" w:type="paragraph">
    <w:name w:val="toc 3"/>
    <w:basedOn w:val="Style_10"/>
    <w:next w:val="Style_10"/>
    <w:link w:val="Style_126_ch"/>
    <w:uiPriority w:val="39"/>
    <w:pPr>
      <w:ind w:firstLine="0" w:left="400"/>
    </w:pPr>
    <w:rPr>
      <w:rFonts w:ascii="XO Thames" w:hAnsi="XO Thames"/>
      <w:sz w:val="28"/>
    </w:rPr>
  </w:style>
  <w:style w:styleId="Style_126_ch" w:type="character">
    <w:name w:val="toc 3"/>
    <w:basedOn w:val="Style_10_ch"/>
    <w:link w:val="Style_126"/>
    <w:rPr>
      <w:rFonts w:ascii="XO Thames" w:hAnsi="XO Thames"/>
      <w:sz w:val="28"/>
    </w:rPr>
  </w:style>
  <w:style w:styleId="Style_127" w:type="paragraph">
    <w:name w:val="WW-Absatz-Standardschriftart"/>
    <w:link w:val="Style_127_ch"/>
  </w:style>
  <w:style w:styleId="Style_127_ch" w:type="character">
    <w:name w:val="WW-Absatz-Standardschriftart"/>
    <w:link w:val="Style_127"/>
  </w:style>
  <w:style w:styleId="Style_128" w:type="paragraph">
    <w:name w:val="WW8Num4z0"/>
    <w:link w:val="Style_128_ch"/>
    <w:rPr>
      <w:spacing w:val="-1"/>
      <w:sz w:val="28"/>
    </w:rPr>
  </w:style>
  <w:style w:styleId="Style_128_ch" w:type="character">
    <w:name w:val="WW8Num4z0"/>
    <w:link w:val="Style_128"/>
    <w:rPr>
      <w:spacing w:val="-1"/>
      <w:sz w:val="28"/>
    </w:rPr>
  </w:style>
  <w:style w:styleId="Style_129" w:type="paragraph">
    <w:name w:val="WW8Num25z0"/>
    <w:link w:val="Style_129_ch"/>
  </w:style>
  <w:style w:styleId="Style_129_ch" w:type="character">
    <w:name w:val="WW8Num25z0"/>
    <w:link w:val="Style_129"/>
  </w:style>
  <w:style w:styleId="Style_130" w:type="paragraph">
    <w:name w:val="Char Style 13"/>
    <w:link w:val="Style_130_ch"/>
    <w:rPr>
      <w:sz w:val="26"/>
    </w:rPr>
  </w:style>
  <w:style w:styleId="Style_130_ch" w:type="character">
    <w:name w:val="Char Style 13"/>
    <w:link w:val="Style_130"/>
    <w:rPr>
      <w:sz w:val="26"/>
    </w:rPr>
  </w:style>
  <w:style w:styleId="Style_131" w:type="paragraph">
    <w:name w:val="Обычный текст"/>
    <w:basedOn w:val="Style_10"/>
    <w:link w:val="Style_131_ch"/>
    <w:pPr>
      <w:ind w:firstLine="567" w:left="0"/>
      <w:jc w:val="both"/>
    </w:pPr>
    <w:rPr>
      <w:sz w:val="28"/>
    </w:rPr>
  </w:style>
  <w:style w:styleId="Style_131_ch" w:type="character">
    <w:name w:val="Обычный текст"/>
    <w:basedOn w:val="Style_10_ch"/>
    <w:link w:val="Style_131"/>
    <w:rPr>
      <w:sz w:val="28"/>
    </w:rPr>
  </w:style>
  <w:style w:styleId="Style_132" w:type="paragraph">
    <w:name w:val="Основной текст 3 Знак1"/>
    <w:link w:val="Style_132_ch"/>
    <w:rPr>
      <w:sz w:val="16"/>
    </w:rPr>
  </w:style>
  <w:style w:styleId="Style_132_ch" w:type="character">
    <w:name w:val="Основной текст 3 Знак1"/>
    <w:link w:val="Style_132"/>
    <w:rPr>
      <w:sz w:val="16"/>
    </w:rPr>
  </w:style>
  <w:style w:styleId="Style_133" w:type="paragraph">
    <w:name w:val="WW8Num32z0"/>
    <w:link w:val="Style_133_ch"/>
  </w:style>
  <w:style w:styleId="Style_133_ch" w:type="character">
    <w:name w:val="WW8Num32z0"/>
    <w:link w:val="Style_133"/>
  </w:style>
  <w:style w:styleId="Style_134" w:type="paragraph">
    <w:name w:val="Основной шрифт абзаца13"/>
    <w:link w:val="Style_134_ch"/>
  </w:style>
  <w:style w:styleId="Style_134_ch" w:type="character">
    <w:name w:val="Основной шрифт абзаца13"/>
    <w:link w:val="Style_134"/>
  </w:style>
  <w:style w:styleId="Style_135" w:type="paragraph">
    <w:name w:val="ConsPlusTitle"/>
    <w:link w:val="Style_135_ch"/>
    <w:pPr>
      <w:widowControl w:val="0"/>
      <w:ind/>
    </w:pPr>
    <w:rPr>
      <w:b w:val="1"/>
      <w:sz w:val="24"/>
    </w:rPr>
  </w:style>
  <w:style w:styleId="Style_135_ch" w:type="character">
    <w:name w:val="ConsPlusTitle"/>
    <w:link w:val="Style_135"/>
    <w:rPr>
      <w:b w:val="1"/>
      <w:sz w:val="24"/>
    </w:rPr>
  </w:style>
  <w:style w:styleId="Style_136" w:type="paragraph">
    <w:name w:val="WW8Num34z2"/>
    <w:link w:val="Style_136_ch"/>
    <w:rPr>
      <w:rFonts w:ascii="Wingdings" w:hAnsi="Wingdings"/>
    </w:rPr>
  </w:style>
  <w:style w:styleId="Style_136_ch" w:type="character">
    <w:name w:val="WW8Num34z2"/>
    <w:link w:val="Style_136"/>
    <w:rPr>
      <w:rFonts w:ascii="Wingdings" w:hAnsi="Wingdings"/>
    </w:rPr>
  </w:style>
  <w:style w:styleId="Style_137" w:type="paragraph">
    <w:name w:val="Верхний колонтитул Знак"/>
    <w:link w:val="Style_137_ch"/>
    <w:rPr>
      <w:sz w:val="24"/>
    </w:rPr>
  </w:style>
  <w:style w:styleId="Style_137_ch" w:type="character">
    <w:name w:val="Верхний колонтитул Знак"/>
    <w:link w:val="Style_137"/>
    <w:rPr>
      <w:sz w:val="24"/>
    </w:rPr>
  </w:style>
  <w:style w:styleId="Style_138" w:type="paragraph">
    <w:name w:val="Основной текст с отступом 22"/>
    <w:basedOn w:val="Style_10"/>
    <w:link w:val="Style_138_ch"/>
    <w:pPr>
      <w:widowControl w:val="0"/>
      <w:spacing w:after="120" w:line="480" w:lineRule="auto"/>
      <w:ind w:firstLine="0" w:left="283"/>
      <w:jc w:val="center"/>
    </w:pPr>
  </w:style>
  <w:style w:styleId="Style_138_ch" w:type="character">
    <w:name w:val="Основной текст с отступом 22"/>
    <w:basedOn w:val="Style_10_ch"/>
    <w:link w:val="Style_138"/>
  </w:style>
  <w:style w:styleId="Style_139" w:type="paragraph">
    <w:name w:val="WW8Num20z2"/>
    <w:link w:val="Style_139_ch"/>
    <w:rPr>
      <w:b w:val="1"/>
    </w:rPr>
  </w:style>
  <w:style w:styleId="Style_139_ch" w:type="character">
    <w:name w:val="WW8Num20z2"/>
    <w:link w:val="Style_139"/>
    <w:rPr>
      <w:b w:val="1"/>
    </w:rPr>
  </w:style>
  <w:style w:styleId="Style_140" w:type="paragraph">
    <w:name w:val="WW8Num22z2"/>
    <w:link w:val="Style_140_ch"/>
    <w:rPr>
      <w:rFonts w:ascii="Wingdings" w:hAnsi="Wingdings"/>
    </w:rPr>
  </w:style>
  <w:style w:styleId="Style_140_ch" w:type="character">
    <w:name w:val="WW8Num22z2"/>
    <w:link w:val="Style_140"/>
    <w:rPr>
      <w:rFonts w:ascii="Wingdings" w:hAnsi="Wingdings"/>
    </w:rPr>
  </w:style>
  <w:style w:styleId="Style_141" w:type="paragraph">
    <w:name w:val="Основной текст + 9 pt"/>
    <w:link w:val="Style_141_ch"/>
    <w:rPr>
      <w:b w:val="1"/>
      <w:spacing w:val="-5"/>
      <w:sz w:val="18"/>
    </w:rPr>
  </w:style>
  <w:style w:styleId="Style_141_ch" w:type="character">
    <w:name w:val="Основной текст + 9 pt"/>
    <w:link w:val="Style_141"/>
    <w:rPr>
      <w:b w:val="1"/>
      <w:spacing w:val="-5"/>
      <w:sz w:val="18"/>
    </w:rPr>
  </w:style>
  <w:style w:styleId="Style_142" w:type="paragraph">
    <w:name w:val="WW8Num1z7"/>
    <w:link w:val="Style_142_ch"/>
  </w:style>
  <w:style w:styleId="Style_142_ch" w:type="character">
    <w:name w:val="WW8Num1z7"/>
    <w:link w:val="Style_142"/>
  </w:style>
  <w:style w:styleId="Style_143" w:type="paragraph">
    <w:name w:val="WW8Num1z1"/>
    <w:link w:val="Style_143_ch"/>
  </w:style>
  <w:style w:styleId="Style_143_ch" w:type="character">
    <w:name w:val="WW8Num1z1"/>
    <w:link w:val="Style_143"/>
  </w:style>
  <w:style w:styleId="Style_144" w:type="paragraph">
    <w:name w:val="Default Paragraph Font"/>
    <w:link w:val="Style_144_ch"/>
  </w:style>
  <w:style w:styleId="Style_144_ch" w:type="character">
    <w:name w:val="Default Paragraph Font"/>
    <w:link w:val="Style_144"/>
  </w:style>
  <w:style w:styleId="Style_145" w:type="paragraph">
    <w:name w:val="Знак Знак"/>
    <w:basedOn w:val="Style_10"/>
    <w:link w:val="Style_14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45_ch" w:type="character">
    <w:name w:val="Знак Знак"/>
    <w:basedOn w:val="Style_10_ch"/>
    <w:link w:val="Style_145"/>
    <w:rPr>
      <w:rFonts w:ascii="Verdana" w:hAnsi="Verdana"/>
      <w:sz w:val="20"/>
    </w:rPr>
  </w:style>
  <w:style w:styleId="Style_146" w:type="paragraph">
    <w:name w:val="WW8Num13z0"/>
    <w:link w:val="Style_146_ch"/>
    <w:rPr>
      <w:rFonts w:ascii="Symbol" w:hAnsi="Symbol"/>
    </w:rPr>
  </w:style>
  <w:style w:styleId="Style_146_ch" w:type="character">
    <w:name w:val="WW8Num13z0"/>
    <w:link w:val="Style_146"/>
    <w:rPr>
      <w:rFonts w:ascii="Symbol" w:hAnsi="Symbol"/>
    </w:rPr>
  </w:style>
  <w:style w:styleId="Style_147" w:type="paragraph">
    <w:name w:val="WW8Num1z8"/>
    <w:link w:val="Style_147_ch"/>
  </w:style>
  <w:style w:styleId="Style_147_ch" w:type="character">
    <w:name w:val="WW8Num1z8"/>
    <w:link w:val="Style_147"/>
  </w:style>
  <w:style w:styleId="Style_148" w:type="paragraph">
    <w:name w:val="normaltextrun"/>
    <w:link w:val="Style_148_ch"/>
  </w:style>
  <w:style w:styleId="Style_148_ch" w:type="character">
    <w:name w:val="normaltextrun"/>
    <w:link w:val="Style_148"/>
  </w:style>
  <w:style w:styleId="Style_149" w:type="paragraph">
    <w:name w:val="Знак Знак3 Знак Знак2"/>
    <w:basedOn w:val="Style_10"/>
    <w:link w:val="Style_14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49_ch" w:type="character">
    <w:name w:val="Знак Знак3 Знак Знак2"/>
    <w:basedOn w:val="Style_10_ch"/>
    <w:link w:val="Style_149"/>
    <w:rPr>
      <w:rFonts w:ascii="Verdana" w:hAnsi="Verdana"/>
      <w:sz w:val="20"/>
    </w:rPr>
  </w:style>
  <w:style w:styleId="Style_150" w:type="paragraph">
    <w:name w:val="Основной шрифт абзаца5"/>
    <w:link w:val="Style_150_ch"/>
  </w:style>
  <w:style w:styleId="Style_150_ch" w:type="character">
    <w:name w:val="Основной шрифт абзаца5"/>
    <w:link w:val="Style_150"/>
  </w:style>
  <w:style w:styleId="Style_151" w:type="paragraph">
    <w:name w:val="WW8Num16z2"/>
    <w:link w:val="Style_151_ch"/>
    <w:rPr>
      <w:rFonts w:ascii="Symbol" w:hAnsi="Symbol"/>
    </w:rPr>
  </w:style>
  <w:style w:styleId="Style_151_ch" w:type="character">
    <w:name w:val="WW8Num16z2"/>
    <w:link w:val="Style_151"/>
    <w:rPr>
      <w:rFonts w:ascii="Symbol" w:hAnsi="Symbol"/>
    </w:rPr>
  </w:style>
  <w:style w:styleId="Style_152" w:type="paragraph">
    <w:name w:val="Гиперссылка2"/>
    <w:link w:val="Style_152_ch"/>
    <w:rPr>
      <w:color w:val="0000FF"/>
      <w:u w:val="single"/>
    </w:rPr>
  </w:style>
  <w:style w:styleId="Style_152_ch" w:type="character">
    <w:name w:val="Гиперссылка2"/>
    <w:link w:val="Style_152"/>
    <w:rPr>
      <w:color w:val="0000FF"/>
      <w:u w:val="single"/>
    </w:rPr>
  </w:style>
  <w:style w:styleId="Style_153" w:type="paragraph">
    <w:name w:val="apple-converted-space"/>
    <w:link w:val="Style_153_ch"/>
  </w:style>
  <w:style w:styleId="Style_153_ch" w:type="character">
    <w:name w:val="apple-converted-space"/>
    <w:link w:val="Style_153"/>
  </w:style>
  <w:style w:styleId="Style_154" w:type="paragraph">
    <w:name w:val="heading 5"/>
    <w:basedOn w:val="Style_10"/>
    <w:next w:val="Style_10"/>
    <w:link w:val="Style_1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4_ch" w:type="character">
    <w:name w:val="heading 5"/>
    <w:basedOn w:val="Style_10_ch"/>
    <w:link w:val="Style_154"/>
    <w:rPr>
      <w:rFonts w:ascii="XO Thames" w:hAnsi="XO Thames"/>
      <w:b w:val="1"/>
      <w:sz w:val="22"/>
    </w:rPr>
  </w:style>
  <w:style w:styleId="Style_155" w:type="paragraph">
    <w:name w:val="WW8Num32z3"/>
    <w:link w:val="Style_155_ch"/>
    <w:rPr>
      <w:rFonts w:ascii="Symbol" w:hAnsi="Symbol"/>
    </w:rPr>
  </w:style>
  <w:style w:styleId="Style_155_ch" w:type="character">
    <w:name w:val="WW8Num32z3"/>
    <w:link w:val="Style_155"/>
    <w:rPr>
      <w:rFonts w:ascii="Symbol" w:hAnsi="Symbol"/>
    </w:rPr>
  </w:style>
  <w:style w:styleId="Style_156" w:type="paragraph">
    <w:name w:val="Заголовок 2 Знак"/>
    <w:link w:val="Style_156_ch"/>
    <w:rPr>
      <w:rFonts w:ascii="Arial" w:hAnsi="Arial"/>
      <w:b w:val="1"/>
    </w:rPr>
  </w:style>
  <w:style w:styleId="Style_156_ch" w:type="character">
    <w:name w:val="Заголовок 2 Знак"/>
    <w:link w:val="Style_156"/>
    <w:rPr>
      <w:rFonts w:ascii="Arial" w:hAnsi="Arial"/>
      <w:b w:val="1"/>
    </w:rPr>
  </w:style>
  <w:style w:styleId="Style_157" w:type="paragraph">
    <w:name w:val="Текст примечания Знак1"/>
    <w:link w:val="Style_157_ch"/>
  </w:style>
  <w:style w:styleId="Style_157_ch" w:type="character">
    <w:name w:val="Текст примечания Знак1"/>
    <w:link w:val="Style_157"/>
  </w:style>
  <w:style w:styleId="Style_158" w:type="paragraph">
    <w:name w:val="Обычный1"/>
    <w:link w:val="Style_158_ch"/>
    <w:rPr>
      <w:sz w:val="24"/>
    </w:rPr>
  </w:style>
  <w:style w:styleId="Style_158_ch" w:type="character">
    <w:name w:val="Обычный1"/>
    <w:link w:val="Style_158"/>
    <w:rPr>
      <w:sz w:val="24"/>
    </w:rPr>
  </w:style>
  <w:style w:styleId="Style_16" w:type="paragraph">
    <w:name w:val="Основной шрифт абзаца14"/>
    <w:link w:val="Style_16_ch"/>
  </w:style>
  <w:style w:styleId="Style_16_ch" w:type="character">
    <w:name w:val="Основной шрифт абзаца14"/>
    <w:link w:val="Style_16"/>
  </w:style>
  <w:style w:styleId="Style_159" w:type="paragraph">
    <w:name w:val="Body Text First Indent 2"/>
    <w:basedOn w:val="Style_34"/>
    <w:link w:val="Style_159_ch"/>
    <w:pPr>
      <w:ind w:firstLine="210" w:left="0"/>
    </w:pPr>
  </w:style>
  <w:style w:styleId="Style_159_ch" w:type="character">
    <w:name w:val="Body Text First Indent 2"/>
    <w:basedOn w:val="Style_34_ch"/>
    <w:link w:val="Style_159"/>
  </w:style>
  <w:style w:styleId="Style_160" w:type="paragraph">
    <w:name w:val="Знак Знак Знак1 Знак Знак Знак Знак"/>
    <w:basedOn w:val="Style_10"/>
    <w:link w:val="Style_160_ch"/>
    <w:pPr>
      <w:spacing w:after="280" w:before="280"/>
      <w:ind/>
      <w:jc w:val="both"/>
    </w:pPr>
    <w:rPr>
      <w:rFonts w:ascii="Tahoma" w:hAnsi="Tahoma"/>
      <w:sz w:val="20"/>
    </w:rPr>
  </w:style>
  <w:style w:styleId="Style_160_ch" w:type="character">
    <w:name w:val="Знак Знак Знак1 Знак Знак Знак Знак"/>
    <w:basedOn w:val="Style_10_ch"/>
    <w:link w:val="Style_160"/>
    <w:rPr>
      <w:rFonts w:ascii="Tahoma" w:hAnsi="Tahoma"/>
      <w:sz w:val="20"/>
    </w:rPr>
  </w:style>
  <w:style w:styleId="Style_161" w:type="paragraph">
    <w:name w:val="heading 1"/>
    <w:basedOn w:val="Style_10"/>
    <w:next w:val="Style_10"/>
    <w:link w:val="Style_161_ch"/>
    <w:uiPriority w:val="9"/>
    <w:qFormat/>
    <w:pPr>
      <w:keepNext w:val="1"/>
      <w:numPr>
        <w:numId w:val="8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61_ch" w:type="character">
    <w:name w:val="heading 1"/>
    <w:basedOn w:val="Style_10_ch"/>
    <w:link w:val="Style_161"/>
    <w:rPr>
      <w:rFonts w:ascii="Arial" w:hAnsi="Arial"/>
      <w:b w:val="1"/>
      <w:sz w:val="32"/>
    </w:rPr>
  </w:style>
  <w:style w:styleId="Style_162" w:type="paragraph">
    <w:name w:val="WW8Num15z0"/>
    <w:link w:val="Style_162_ch"/>
    <w:rPr>
      <w:rFonts w:ascii="Symbol" w:hAnsi="Symbol"/>
    </w:rPr>
  </w:style>
  <w:style w:styleId="Style_162_ch" w:type="character">
    <w:name w:val="WW8Num15z0"/>
    <w:link w:val="Style_162"/>
    <w:rPr>
      <w:rFonts w:ascii="Symbol" w:hAnsi="Symbol"/>
    </w:rPr>
  </w:style>
  <w:style w:styleId="Style_163" w:type="paragraph">
    <w:name w:val="Текст примечания1"/>
    <w:basedOn w:val="Style_10"/>
    <w:link w:val="Style_163_ch"/>
    <w:rPr>
      <w:sz w:val="20"/>
    </w:rPr>
  </w:style>
  <w:style w:styleId="Style_163_ch" w:type="character">
    <w:name w:val="Текст примечания1"/>
    <w:basedOn w:val="Style_10_ch"/>
    <w:link w:val="Style_163"/>
    <w:rPr>
      <w:sz w:val="20"/>
    </w:rPr>
  </w:style>
  <w:style w:styleId="Style_164" w:type="paragraph">
    <w:name w:val="Название1"/>
    <w:basedOn w:val="Style_10"/>
    <w:link w:val="Style_164_ch"/>
    <w:pPr>
      <w:spacing w:after="120" w:before="120"/>
      <w:ind/>
    </w:pPr>
    <w:rPr>
      <w:rFonts w:ascii="Arial" w:hAnsi="Arial"/>
      <w:i w:val="1"/>
      <w:sz w:val="20"/>
    </w:rPr>
  </w:style>
  <w:style w:styleId="Style_164_ch" w:type="character">
    <w:name w:val="Название1"/>
    <w:basedOn w:val="Style_10_ch"/>
    <w:link w:val="Style_164"/>
    <w:rPr>
      <w:rFonts w:ascii="Arial" w:hAnsi="Arial"/>
      <w:i w:val="1"/>
      <w:sz w:val="20"/>
    </w:rPr>
  </w:style>
  <w:style w:styleId="Style_165" w:type="paragraph">
    <w:name w:val="WW8Num26z0"/>
    <w:link w:val="Style_165_ch"/>
  </w:style>
  <w:style w:styleId="Style_165_ch" w:type="character">
    <w:name w:val="WW8Num26z0"/>
    <w:link w:val="Style_165"/>
  </w:style>
  <w:style w:styleId="Style_166" w:type="paragraph">
    <w:name w:val="Основной текст + Calibri"/>
    <w:link w:val="Style_166_ch"/>
    <w:rPr>
      <w:rFonts w:ascii="Calibri" w:hAnsi="Calibri"/>
      <w:spacing w:val="-7"/>
      <w:sz w:val="16"/>
    </w:rPr>
  </w:style>
  <w:style w:styleId="Style_166_ch" w:type="character">
    <w:name w:val="Основной текст + Calibri"/>
    <w:link w:val="Style_166"/>
    <w:rPr>
      <w:rFonts w:ascii="Calibri" w:hAnsi="Calibri"/>
      <w:spacing w:val="-7"/>
      <w:sz w:val="16"/>
    </w:rPr>
  </w:style>
  <w:style w:styleId="Style_167" w:type="paragraph">
    <w:name w:val="WW8Num3z2"/>
    <w:link w:val="Style_167_ch"/>
    <w:rPr>
      <w:rFonts w:ascii="Wingdings" w:hAnsi="Wingdings"/>
    </w:rPr>
  </w:style>
  <w:style w:styleId="Style_167_ch" w:type="character">
    <w:name w:val="WW8Num3z2"/>
    <w:link w:val="Style_167"/>
    <w:rPr>
      <w:rFonts w:ascii="Wingdings" w:hAnsi="Wingdings"/>
    </w:rPr>
  </w:style>
  <w:style w:styleId="Style_168" w:type="paragraph">
    <w:name w:val="Body Text Indent 3"/>
    <w:basedOn w:val="Style_10"/>
    <w:link w:val="Style_168_ch"/>
    <w:pPr>
      <w:spacing w:after="120"/>
      <w:ind w:firstLine="0" w:left="283"/>
    </w:pPr>
    <w:rPr>
      <w:sz w:val="16"/>
    </w:rPr>
  </w:style>
  <w:style w:styleId="Style_168_ch" w:type="character">
    <w:name w:val="Body Text Indent 3"/>
    <w:basedOn w:val="Style_10_ch"/>
    <w:link w:val="Style_168"/>
    <w:rPr>
      <w:sz w:val="16"/>
    </w:rPr>
  </w:style>
  <w:style w:styleId="Style_169" w:type="paragraph">
    <w:name w:val="Обычный18"/>
    <w:link w:val="Style_169_ch"/>
    <w:rPr>
      <w:sz w:val="24"/>
    </w:rPr>
  </w:style>
  <w:style w:styleId="Style_169_ch" w:type="character">
    <w:name w:val="Обычный18"/>
    <w:link w:val="Style_169"/>
    <w:rPr>
      <w:sz w:val="24"/>
    </w:rPr>
  </w:style>
  <w:style w:styleId="Style_170" w:type="paragraph">
    <w:name w:val="Hyperlink"/>
    <w:link w:val="Style_170_ch"/>
    <w:rPr>
      <w:color w:val="0000FF"/>
      <w:u w:val="single"/>
    </w:rPr>
  </w:style>
  <w:style w:styleId="Style_170_ch" w:type="character">
    <w:name w:val="Hyperlink"/>
    <w:link w:val="Style_170"/>
    <w:rPr>
      <w:color w:val="0000FF"/>
      <w:u w:val="single"/>
    </w:rPr>
  </w:style>
  <w:style w:styleId="Style_171" w:type="paragraph">
    <w:name w:val="Footnote"/>
    <w:basedOn w:val="Style_10"/>
    <w:link w:val="Style_171_ch"/>
    <w:rPr>
      <w:sz w:val="20"/>
    </w:rPr>
  </w:style>
  <w:style w:styleId="Style_171_ch" w:type="character">
    <w:name w:val="Footnote"/>
    <w:basedOn w:val="Style_10_ch"/>
    <w:link w:val="Style_171"/>
    <w:rPr>
      <w:sz w:val="20"/>
    </w:rPr>
  </w:style>
  <w:style w:styleId="Style_172" w:type="paragraph">
    <w:name w:val="heading 8"/>
    <w:basedOn w:val="Style_10"/>
    <w:next w:val="Style_10"/>
    <w:link w:val="Style_172_ch"/>
    <w:uiPriority w:val="9"/>
    <w:qFormat/>
    <w:pPr>
      <w:numPr>
        <w:ilvl w:val="7"/>
        <w:numId w:val="8"/>
      </w:numPr>
      <w:spacing w:after="60" w:before="240"/>
      <w:ind/>
      <w:outlineLvl w:val="7"/>
    </w:pPr>
    <w:rPr>
      <w:i w:val="1"/>
    </w:rPr>
  </w:style>
  <w:style w:styleId="Style_172_ch" w:type="character">
    <w:name w:val="heading 8"/>
    <w:basedOn w:val="Style_10_ch"/>
    <w:link w:val="Style_172"/>
    <w:rPr>
      <w:i w:val="1"/>
    </w:rPr>
  </w:style>
  <w:style w:styleId="Style_173" w:type="paragraph">
    <w:name w:val="WW8Num2z1"/>
    <w:link w:val="Style_173_ch"/>
    <w:rPr>
      <w:rFonts w:ascii="Courier New" w:hAnsi="Courier New"/>
    </w:rPr>
  </w:style>
  <w:style w:styleId="Style_173_ch" w:type="character">
    <w:name w:val="WW8Num2z1"/>
    <w:link w:val="Style_173"/>
    <w:rPr>
      <w:rFonts w:ascii="Courier New" w:hAnsi="Courier New"/>
    </w:rPr>
  </w:style>
  <w:style w:styleId="Style_174" w:type="paragraph">
    <w:name w:val="Заголовок 4 Знак"/>
    <w:link w:val="Style_174_ch"/>
    <w:rPr>
      <w:b w:val="1"/>
      <w:sz w:val="28"/>
    </w:rPr>
  </w:style>
  <w:style w:styleId="Style_174_ch" w:type="character">
    <w:name w:val="Заголовок 4 Знак"/>
    <w:link w:val="Style_174"/>
    <w:rPr>
      <w:b w:val="1"/>
      <w:sz w:val="28"/>
    </w:rPr>
  </w:style>
  <w:style w:styleId="Style_175" w:type="paragraph">
    <w:name w:val="toc 1"/>
    <w:basedOn w:val="Style_10"/>
    <w:next w:val="Style_10"/>
    <w:link w:val="Style_175_ch"/>
    <w:uiPriority w:val="39"/>
    <w:rPr>
      <w:rFonts w:ascii="XO Thames" w:hAnsi="XO Thames"/>
      <w:b w:val="1"/>
      <w:sz w:val="28"/>
    </w:rPr>
  </w:style>
  <w:style w:styleId="Style_175_ch" w:type="character">
    <w:name w:val="toc 1"/>
    <w:basedOn w:val="Style_10_ch"/>
    <w:link w:val="Style_175"/>
    <w:rPr>
      <w:rFonts w:ascii="XO Thames" w:hAnsi="XO Thames"/>
      <w:b w:val="1"/>
      <w:sz w:val="28"/>
    </w:rPr>
  </w:style>
  <w:style w:styleId="Style_176" w:type="paragraph">
    <w:name w:val="Заголовок 8 Знак"/>
    <w:link w:val="Style_176_ch"/>
    <w:rPr>
      <w:i w:val="1"/>
      <w:sz w:val="24"/>
    </w:rPr>
  </w:style>
  <w:style w:styleId="Style_176_ch" w:type="character">
    <w:name w:val="Заголовок 8 Знак"/>
    <w:link w:val="Style_176"/>
    <w:rPr>
      <w:i w:val="1"/>
      <w:sz w:val="24"/>
    </w:rPr>
  </w:style>
  <w:style w:styleId="Style_177" w:type="paragraph">
    <w:name w:val="Знак Знак3 Знак Знак Знак Знак"/>
    <w:basedOn w:val="Style_10"/>
    <w:link w:val="Style_17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77_ch" w:type="character">
    <w:name w:val="Знак Знак3 Знак Знак Знак Знак"/>
    <w:basedOn w:val="Style_10_ch"/>
    <w:link w:val="Style_177"/>
    <w:rPr>
      <w:rFonts w:ascii="Verdana" w:hAnsi="Verdana"/>
      <w:sz w:val="20"/>
    </w:rPr>
  </w:style>
  <w:style w:styleId="Style_178" w:type="paragraph">
    <w:name w:val="Font Style13"/>
    <w:link w:val="Style_178_ch"/>
    <w:rPr>
      <w:b w:val="1"/>
      <w:sz w:val="24"/>
    </w:rPr>
  </w:style>
  <w:style w:styleId="Style_178_ch" w:type="character">
    <w:name w:val="Font Style13"/>
    <w:link w:val="Style_178"/>
    <w:rPr>
      <w:b w:val="1"/>
      <w:sz w:val="24"/>
    </w:rPr>
  </w:style>
  <w:style w:styleId="Style_56" w:type="paragraph">
    <w:name w:val="Основной шрифт абзаца6"/>
    <w:link w:val="Style_56_ch"/>
  </w:style>
  <w:style w:styleId="Style_56_ch" w:type="character">
    <w:name w:val="Основной шрифт абзаца6"/>
    <w:link w:val="Style_56"/>
  </w:style>
  <w:style w:styleId="Style_179" w:type="paragraph">
    <w:name w:val="Знак14"/>
    <w:basedOn w:val="Style_10"/>
    <w:link w:val="Style_179_ch"/>
    <w:pPr>
      <w:spacing w:after="160" w:line="240" w:lineRule="exact"/>
      <w:ind/>
    </w:pPr>
    <w:rPr>
      <w:rFonts w:ascii="Verdana" w:hAnsi="Verdana"/>
      <w:sz w:val="20"/>
    </w:rPr>
  </w:style>
  <w:style w:styleId="Style_179_ch" w:type="character">
    <w:name w:val="Знак14"/>
    <w:basedOn w:val="Style_10_ch"/>
    <w:link w:val="Style_179"/>
    <w:rPr>
      <w:rFonts w:ascii="Verdana" w:hAnsi="Verdana"/>
      <w:sz w:val="20"/>
    </w:rPr>
  </w:style>
  <w:style w:styleId="Style_180" w:type="paragraph">
    <w:name w:val="Header and Footer"/>
    <w:link w:val="Style_180_ch"/>
    <w:pPr>
      <w:ind/>
      <w:jc w:val="both"/>
    </w:pPr>
    <w:rPr>
      <w:rFonts w:ascii="XO Thames" w:hAnsi="XO Thames"/>
    </w:rPr>
  </w:style>
  <w:style w:styleId="Style_180_ch" w:type="character">
    <w:name w:val="Header and Footer"/>
    <w:link w:val="Style_180"/>
    <w:rPr>
      <w:rFonts w:ascii="XO Thames" w:hAnsi="XO Thames"/>
    </w:rPr>
  </w:style>
  <w:style w:styleId="Style_181" w:type="paragraph">
    <w:name w:val="Строгий1"/>
    <w:link w:val="Style_181_ch"/>
    <w:rPr>
      <w:b w:val="1"/>
    </w:rPr>
  </w:style>
  <w:style w:styleId="Style_181_ch" w:type="character">
    <w:name w:val="Строгий1"/>
    <w:link w:val="Style_181"/>
    <w:rPr>
      <w:b w:val="1"/>
    </w:rPr>
  </w:style>
  <w:style w:styleId="Style_182" w:type="paragraph">
    <w:name w:val="Текст сноски Знак"/>
    <w:basedOn w:val="Style_16"/>
    <w:link w:val="Style_182_ch"/>
  </w:style>
  <w:style w:styleId="Style_182_ch" w:type="character">
    <w:name w:val="Текст сноски Знак"/>
    <w:basedOn w:val="Style_16_ch"/>
    <w:link w:val="Style_182"/>
  </w:style>
  <w:style w:styleId="Style_183" w:type="paragraph">
    <w:name w:val="WW8Num2z2"/>
    <w:link w:val="Style_183_ch"/>
    <w:rPr>
      <w:rFonts w:ascii="Wingdings" w:hAnsi="Wingdings"/>
    </w:rPr>
  </w:style>
  <w:style w:styleId="Style_183_ch" w:type="character">
    <w:name w:val="WW8Num2z2"/>
    <w:link w:val="Style_183"/>
    <w:rPr>
      <w:rFonts w:ascii="Wingdings" w:hAnsi="Wingdings"/>
    </w:rPr>
  </w:style>
  <w:style w:styleId="Style_184" w:type="paragraph">
    <w:name w:val="WW8Num23z0"/>
    <w:link w:val="Style_184_ch"/>
  </w:style>
  <w:style w:styleId="Style_184_ch" w:type="character">
    <w:name w:val="WW8Num23z0"/>
    <w:link w:val="Style_184"/>
  </w:style>
  <w:style w:styleId="Style_185" w:type="paragraph">
    <w:name w:val="WW8Num1z4"/>
    <w:link w:val="Style_185_ch"/>
  </w:style>
  <w:style w:styleId="Style_185_ch" w:type="character">
    <w:name w:val="WW8Num1z4"/>
    <w:link w:val="Style_185"/>
  </w:style>
  <w:style w:styleId="Style_186" w:type="paragraph">
    <w:name w:val="Основной шрифт абзаца22"/>
    <w:link w:val="Style_186_ch"/>
  </w:style>
  <w:style w:styleId="Style_186_ch" w:type="character">
    <w:name w:val="Основной шрифт абзаца22"/>
    <w:link w:val="Style_186"/>
  </w:style>
  <w:style w:styleId="Style_187" w:type="paragraph">
    <w:name w:val="Заголовок таблицы"/>
    <w:basedOn w:val="Style_188"/>
    <w:link w:val="Style_187_ch"/>
    <w:pPr>
      <w:ind/>
      <w:jc w:val="center"/>
    </w:pPr>
    <w:rPr>
      <w:b w:val="1"/>
    </w:rPr>
  </w:style>
  <w:style w:styleId="Style_187_ch" w:type="character">
    <w:name w:val="Заголовок таблицы"/>
    <w:basedOn w:val="Style_188_ch"/>
    <w:link w:val="Style_187"/>
    <w:rPr>
      <w:b w:val="1"/>
    </w:rPr>
  </w:style>
  <w:style w:styleId="Style_189" w:type="paragraph">
    <w:name w:val="WW8Num30z3"/>
    <w:link w:val="Style_189_ch"/>
    <w:rPr>
      <w:rFonts w:ascii="Symbol" w:hAnsi="Symbol"/>
    </w:rPr>
  </w:style>
  <w:style w:styleId="Style_189_ch" w:type="character">
    <w:name w:val="WW8Num30z3"/>
    <w:link w:val="Style_189"/>
    <w:rPr>
      <w:rFonts w:ascii="Symbol" w:hAnsi="Symbol"/>
    </w:rPr>
  </w:style>
  <w:style w:styleId="Style_190" w:type="paragraph">
    <w:name w:val="Обычный1"/>
    <w:link w:val="Style_190_ch"/>
    <w:rPr>
      <w:color w:val="000000"/>
      <w:sz w:val="24"/>
    </w:rPr>
  </w:style>
  <w:style w:styleId="Style_190_ch" w:type="character">
    <w:name w:val="Обычный1"/>
    <w:link w:val="Style_190"/>
    <w:rPr>
      <w:color w:val="000000"/>
      <w:sz w:val="24"/>
    </w:rPr>
  </w:style>
  <w:style w:styleId="Style_191" w:type="paragraph">
    <w:name w:val="Выделение1"/>
    <w:link w:val="Style_191_ch"/>
    <w:rPr>
      <w:i w:val="1"/>
    </w:rPr>
  </w:style>
  <w:style w:styleId="Style_191_ch" w:type="character">
    <w:name w:val="Выделение1"/>
    <w:link w:val="Style_191"/>
    <w:rPr>
      <w:i w:val="1"/>
    </w:rPr>
  </w:style>
  <w:style w:styleId="Style_192" w:type="paragraph">
    <w:name w:val="Текст выноски Знак"/>
    <w:link w:val="Style_192_ch"/>
    <w:rPr>
      <w:rFonts w:ascii="Tahoma" w:hAnsi="Tahoma"/>
      <w:sz w:val="16"/>
    </w:rPr>
  </w:style>
  <w:style w:styleId="Style_192_ch" w:type="character">
    <w:name w:val="Текст выноски Знак"/>
    <w:link w:val="Style_192"/>
    <w:rPr>
      <w:rFonts w:ascii="Tahoma" w:hAnsi="Tahoma"/>
      <w:sz w:val="16"/>
    </w:rPr>
  </w:style>
  <w:style w:styleId="Style_193" w:type="paragraph">
    <w:name w:val="Знак"/>
    <w:basedOn w:val="Style_10"/>
    <w:link w:val="Style_19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93_ch" w:type="character">
    <w:name w:val="Знак"/>
    <w:basedOn w:val="Style_10_ch"/>
    <w:link w:val="Style_193"/>
    <w:rPr>
      <w:rFonts w:ascii="Verdana" w:hAnsi="Verdana"/>
      <w:sz w:val="20"/>
    </w:rPr>
  </w:style>
  <w:style w:styleId="Style_194" w:type="paragraph">
    <w:name w:val="WW8Num6z2"/>
    <w:link w:val="Style_194_ch"/>
    <w:rPr>
      <w:rFonts w:ascii="Wingdings" w:hAnsi="Wingdings"/>
    </w:rPr>
  </w:style>
  <w:style w:styleId="Style_194_ch" w:type="character">
    <w:name w:val="WW8Num6z2"/>
    <w:link w:val="Style_194"/>
    <w:rPr>
      <w:rFonts w:ascii="Wingdings" w:hAnsi="Wingdings"/>
    </w:rPr>
  </w:style>
  <w:style w:styleId="Style_195" w:type="paragraph">
    <w:name w:val="WW8Num5z0"/>
    <w:link w:val="Style_195_ch"/>
  </w:style>
  <w:style w:styleId="Style_195_ch" w:type="character">
    <w:name w:val="WW8Num5z0"/>
    <w:link w:val="Style_195"/>
  </w:style>
  <w:style w:styleId="Style_196" w:type="paragraph">
    <w:name w:val="Основной шрифт абзаца12"/>
    <w:link w:val="Style_196_ch"/>
  </w:style>
  <w:style w:styleId="Style_196_ch" w:type="character">
    <w:name w:val="Основной шрифт абзаца12"/>
    <w:link w:val="Style_196"/>
  </w:style>
  <w:style w:styleId="Style_197" w:type="paragraph">
    <w:name w:val="Основной текст с отступом 21"/>
    <w:basedOn w:val="Style_10"/>
    <w:link w:val="Style_197_ch"/>
    <w:pPr>
      <w:keepNext w:val="1"/>
      <w:keepLines w:val="1"/>
      <w:ind w:firstLine="720" w:left="0"/>
      <w:jc w:val="both"/>
    </w:pPr>
    <w:rPr>
      <w:b w:val="1"/>
      <w:sz w:val="28"/>
    </w:rPr>
  </w:style>
  <w:style w:styleId="Style_197_ch" w:type="character">
    <w:name w:val="Основной текст с отступом 21"/>
    <w:basedOn w:val="Style_10_ch"/>
    <w:link w:val="Style_197"/>
    <w:rPr>
      <w:b w:val="1"/>
      <w:sz w:val="28"/>
    </w:rPr>
  </w:style>
  <w:style w:styleId="Style_198" w:type="paragraph">
    <w:name w:val="Обычный12"/>
    <w:link w:val="Style_198_ch"/>
    <w:rPr>
      <w:sz w:val="24"/>
    </w:rPr>
  </w:style>
  <w:style w:styleId="Style_198_ch" w:type="character">
    <w:name w:val="Обычный12"/>
    <w:link w:val="Style_198"/>
    <w:rPr>
      <w:sz w:val="24"/>
    </w:rPr>
  </w:style>
  <w:style w:styleId="Style_199" w:type="paragraph">
    <w:name w:val="Подпись к таблице_"/>
    <w:link w:val="Style_199_ch"/>
    <w:rPr>
      <w:b w:val="1"/>
      <w:spacing w:val="-5"/>
      <w:sz w:val="23"/>
    </w:rPr>
  </w:style>
  <w:style w:styleId="Style_199_ch" w:type="character">
    <w:name w:val="Подпись к таблице_"/>
    <w:link w:val="Style_199"/>
    <w:rPr>
      <w:b w:val="1"/>
      <w:spacing w:val="-5"/>
      <w:sz w:val="23"/>
    </w:rPr>
  </w:style>
  <w:style w:styleId="Style_200" w:type="paragraph">
    <w:name w:val="toc 9"/>
    <w:basedOn w:val="Style_10"/>
    <w:next w:val="Style_10"/>
    <w:link w:val="Style_200_ch"/>
    <w:uiPriority w:val="39"/>
    <w:pPr>
      <w:ind w:firstLine="0" w:left="1600"/>
    </w:pPr>
    <w:rPr>
      <w:rFonts w:ascii="XO Thames" w:hAnsi="XO Thames"/>
      <w:sz w:val="28"/>
    </w:rPr>
  </w:style>
  <w:style w:styleId="Style_200_ch" w:type="character">
    <w:name w:val="toc 9"/>
    <w:basedOn w:val="Style_10_ch"/>
    <w:link w:val="Style_200"/>
    <w:rPr>
      <w:rFonts w:ascii="XO Thames" w:hAnsi="XO Thames"/>
      <w:sz w:val="28"/>
    </w:rPr>
  </w:style>
  <w:style w:styleId="Style_201" w:type="paragraph">
    <w:name w:val="Без интервала1"/>
    <w:link w:val="Style_201_ch"/>
    <w:rPr>
      <w:rFonts w:ascii="Calibri" w:hAnsi="Calibri"/>
    </w:rPr>
  </w:style>
  <w:style w:styleId="Style_201_ch" w:type="character">
    <w:name w:val="Без интервала1"/>
    <w:link w:val="Style_201"/>
    <w:rPr>
      <w:rFonts w:ascii="Calibri" w:hAnsi="Calibri"/>
    </w:rPr>
  </w:style>
  <w:style w:styleId="Style_202" w:type="paragraph">
    <w:name w:val="Заголовок 1 Знак2"/>
    <w:basedOn w:val="Style_158"/>
    <w:link w:val="Style_202_ch"/>
    <w:rPr>
      <w:rFonts w:ascii="Arial" w:hAnsi="Arial"/>
      <w:b w:val="1"/>
      <w:sz w:val="32"/>
    </w:rPr>
  </w:style>
  <w:style w:styleId="Style_202_ch" w:type="character">
    <w:name w:val="Заголовок 1 Знак2"/>
    <w:basedOn w:val="Style_158_ch"/>
    <w:link w:val="Style_202"/>
    <w:rPr>
      <w:rFonts w:ascii="Arial" w:hAnsi="Arial"/>
      <w:b w:val="1"/>
      <w:sz w:val="32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03" w:type="paragraph">
    <w:name w:val="Знак Знак132"/>
    <w:link w:val="Style_203_ch"/>
    <w:rPr>
      <w:b w:val="1"/>
      <w:sz w:val="28"/>
    </w:rPr>
  </w:style>
  <w:style w:styleId="Style_203_ch" w:type="character">
    <w:name w:val="Знак Знак132"/>
    <w:link w:val="Style_203"/>
    <w:rPr>
      <w:b w:val="1"/>
      <w:sz w:val="28"/>
    </w:rPr>
  </w:style>
  <w:style w:styleId="Style_204" w:type="paragraph">
    <w:name w:val="Заголовок 6 Знак"/>
    <w:link w:val="Style_204_ch"/>
    <w:rPr>
      <w:rFonts w:ascii="Calibri" w:hAnsi="Calibri"/>
      <w:b w:val="1"/>
    </w:rPr>
  </w:style>
  <w:style w:styleId="Style_204_ch" w:type="character">
    <w:name w:val="Заголовок 6 Знак"/>
    <w:link w:val="Style_204"/>
    <w:rPr>
      <w:rFonts w:ascii="Calibri" w:hAnsi="Calibri"/>
      <w:b w:val="1"/>
    </w:rPr>
  </w:style>
  <w:style w:styleId="Style_205" w:type="paragraph">
    <w:name w:val="paragraph"/>
    <w:basedOn w:val="Style_10"/>
    <w:link w:val="Style_205_ch"/>
    <w:pPr>
      <w:spacing w:after="280" w:before="280"/>
      <w:ind/>
    </w:pPr>
  </w:style>
  <w:style w:styleId="Style_205_ch" w:type="character">
    <w:name w:val="paragraph"/>
    <w:basedOn w:val="Style_10_ch"/>
    <w:link w:val="Style_205"/>
  </w:style>
  <w:style w:styleId="Style_206" w:type="paragraph">
    <w:name w:val="Strong1"/>
    <w:link w:val="Style_206_ch"/>
    <w:rPr>
      <w:b w:val="1"/>
    </w:rPr>
  </w:style>
  <w:style w:styleId="Style_206_ch" w:type="character">
    <w:name w:val="Strong1"/>
    <w:link w:val="Style_206"/>
    <w:rPr>
      <w:b w:val="1"/>
    </w:rPr>
  </w:style>
  <w:style w:styleId="Style_207" w:type="paragraph">
    <w:name w:val="Знак Знак5"/>
    <w:link w:val="Style_207_ch"/>
    <w:rPr>
      <w:sz w:val="24"/>
    </w:rPr>
  </w:style>
  <w:style w:styleId="Style_207_ch" w:type="character">
    <w:name w:val="Знак Знак5"/>
    <w:link w:val="Style_207"/>
    <w:rPr>
      <w:sz w:val="24"/>
    </w:rPr>
  </w:style>
  <w:style w:styleId="Style_208" w:type="paragraph">
    <w:name w:val="Знак Знак13"/>
    <w:link w:val="Style_208_ch"/>
    <w:rPr>
      <w:b w:val="1"/>
      <w:sz w:val="28"/>
    </w:rPr>
  </w:style>
  <w:style w:styleId="Style_208_ch" w:type="character">
    <w:name w:val="Знак Знак13"/>
    <w:link w:val="Style_208"/>
    <w:rPr>
      <w:b w:val="1"/>
      <w:sz w:val="28"/>
    </w:rPr>
  </w:style>
  <w:style w:styleId="Style_209" w:type="paragraph">
    <w:name w:val="Номер строки1"/>
    <w:link w:val="Style_209_ch"/>
  </w:style>
  <w:style w:styleId="Style_209_ch" w:type="character">
    <w:name w:val="Номер строки1"/>
    <w:link w:val="Style_209"/>
  </w:style>
  <w:style w:styleId="Style_210" w:type="paragraph">
    <w:name w:val="Основной текст с отступом 2 Знак1"/>
    <w:link w:val="Style_210_ch"/>
    <w:rPr>
      <w:sz w:val="24"/>
    </w:rPr>
  </w:style>
  <w:style w:styleId="Style_210_ch" w:type="character">
    <w:name w:val="Основной текст с отступом 2 Знак1"/>
    <w:link w:val="Style_210"/>
    <w:rPr>
      <w:sz w:val="24"/>
    </w:rPr>
  </w:style>
  <w:style w:styleId="Style_211" w:type="paragraph">
    <w:name w:val="WW8Num24z0"/>
    <w:link w:val="Style_211_ch"/>
  </w:style>
  <w:style w:styleId="Style_211_ch" w:type="character">
    <w:name w:val="WW8Num24z0"/>
    <w:link w:val="Style_211"/>
  </w:style>
  <w:style w:styleId="Style_9" w:type="paragraph">
    <w:name w:val="ConsPlusNormal"/>
    <w:link w:val="Style_9_ch"/>
    <w:pPr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212" w:type="paragraph">
    <w:name w:val="ЭЭГ"/>
    <w:basedOn w:val="Style_10"/>
    <w:link w:val="Style_212_ch"/>
    <w:pPr>
      <w:spacing w:line="360" w:lineRule="auto"/>
      <w:ind w:firstLine="720" w:left="0"/>
      <w:jc w:val="both"/>
    </w:pPr>
  </w:style>
  <w:style w:styleId="Style_212_ch" w:type="character">
    <w:name w:val="ЭЭГ"/>
    <w:basedOn w:val="Style_10_ch"/>
    <w:link w:val="Style_212"/>
  </w:style>
  <w:style w:styleId="Style_213" w:type="paragraph">
    <w:name w:val="toc 8"/>
    <w:basedOn w:val="Style_10"/>
    <w:next w:val="Style_10"/>
    <w:link w:val="Style_213_ch"/>
    <w:uiPriority w:val="39"/>
    <w:pPr>
      <w:ind w:firstLine="0" w:left="1400"/>
    </w:pPr>
    <w:rPr>
      <w:rFonts w:ascii="XO Thames" w:hAnsi="XO Thames"/>
      <w:sz w:val="28"/>
    </w:rPr>
  </w:style>
  <w:style w:styleId="Style_213_ch" w:type="character">
    <w:name w:val="toc 8"/>
    <w:basedOn w:val="Style_10_ch"/>
    <w:link w:val="Style_213"/>
    <w:rPr>
      <w:rFonts w:ascii="XO Thames" w:hAnsi="XO Thames"/>
      <w:sz w:val="28"/>
    </w:rPr>
  </w:style>
  <w:style w:styleId="Style_214" w:type="paragraph">
    <w:name w:val="Zag_11"/>
    <w:link w:val="Style_214_ch"/>
  </w:style>
  <w:style w:styleId="Style_214_ch" w:type="character">
    <w:name w:val="Zag_11"/>
    <w:link w:val="Style_214"/>
  </w:style>
  <w:style w:styleId="Style_215" w:type="paragraph">
    <w:name w:val="WW8Num23z1"/>
    <w:link w:val="Style_215_ch"/>
    <w:rPr>
      <w:b w:val="1"/>
      <w:i w:val="1"/>
    </w:rPr>
  </w:style>
  <w:style w:styleId="Style_215_ch" w:type="character">
    <w:name w:val="WW8Num23z1"/>
    <w:link w:val="Style_215"/>
    <w:rPr>
      <w:b w:val="1"/>
      <w:i w:val="1"/>
    </w:rPr>
  </w:style>
  <w:style w:styleId="Style_216" w:type="paragraph">
    <w:name w:val="WW8Num1z2"/>
    <w:link w:val="Style_216_ch"/>
  </w:style>
  <w:style w:styleId="Style_216_ch" w:type="character">
    <w:name w:val="WW8Num1z2"/>
    <w:link w:val="Style_216"/>
  </w:style>
  <w:style w:styleId="Style_217" w:type="paragraph">
    <w:name w:val="Основной текст1 Знак1"/>
    <w:link w:val="Style_217_ch"/>
    <w:rPr>
      <w:b w:val="1"/>
      <w:sz w:val="24"/>
    </w:rPr>
  </w:style>
  <w:style w:styleId="Style_217_ch" w:type="character">
    <w:name w:val="Основной текст1 Знак1"/>
    <w:link w:val="Style_217"/>
    <w:rPr>
      <w:b w:val="1"/>
      <w:sz w:val="24"/>
    </w:rPr>
  </w:style>
  <w:style w:styleId="Style_218" w:type="paragraph">
    <w:name w:val="Style 12"/>
    <w:basedOn w:val="Style_10"/>
    <w:link w:val="Style_218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218_ch" w:type="character">
    <w:name w:val="Style 12"/>
    <w:basedOn w:val="Style_10_ch"/>
    <w:link w:val="Style_218"/>
    <w:rPr>
      <w:sz w:val="26"/>
    </w:rPr>
  </w:style>
  <w:style w:styleId="Style_219" w:type="paragraph">
    <w:name w:val="annotation subject"/>
    <w:basedOn w:val="Style_163"/>
    <w:next w:val="Style_163"/>
    <w:link w:val="Style_219_ch"/>
    <w:rPr>
      <w:b w:val="1"/>
    </w:rPr>
  </w:style>
  <w:style w:styleId="Style_219_ch" w:type="character">
    <w:name w:val="annotation subject"/>
    <w:basedOn w:val="Style_163_ch"/>
    <w:link w:val="Style_219"/>
    <w:rPr>
      <w:b w:val="1"/>
    </w:rPr>
  </w:style>
  <w:style w:styleId="Style_220" w:type="paragraph">
    <w:name w:val="Замещающий текст1"/>
    <w:link w:val="Style_220_ch"/>
    <w:rPr>
      <w:color w:val="808080"/>
    </w:rPr>
  </w:style>
  <w:style w:styleId="Style_220_ch" w:type="character">
    <w:name w:val="Замещающий текст1"/>
    <w:link w:val="Style_220"/>
    <w:rPr>
      <w:color w:val="808080"/>
    </w:rPr>
  </w:style>
  <w:style w:styleId="Style_221" w:type="paragraph">
    <w:name w:val="Гиперссылка4"/>
    <w:link w:val="Style_221_ch"/>
    <w:rPr>
      <w:color w:val="0000FF"/>
      <w:u w:val="single"/>
    </w:rPr>
  </w:style>
  <w:style w:styleId="Style_221_ch" w:type="character">
    <w:name w:val="Гиперссылка4"/>
    <w:link w:val="Style_221"/>
    <w:rPr>
      <w:color w:val="0000FF"/>
      <w:u w:val="single"/>
    </w:rPr>
  </w:style>
  <w:style w:styleId="Style_222" w:type="paragraph">
    <w:name w:val="WW8Num28z0"/>
    <w:link w:val="Style_222_ch"/>
  </w:style>
  <w:style w:styleId="Style_222_ch" w:type="character">
    <w:name w:val="WW8Num28z0"/>
    <w:link w:val="Style_222"/>
  </w:style>
  <w:style w:styleId="Style_223" w:type="paragraph">
    <w:name w:val="annotation text"/>
    <w:basedOn w:val="Style_10"/>
    <w:link w:val="Style_223_ch"/>
    <w:rPr>
      <w:sz w:val="20"/>
    </w:rPr>
  </w:style>
  <w:style w:styleId="Style_223_ch" w:type="character">
    <w:name w:val="annotation text"/>
    <w:basedOn w:val="Style_10_ch"/>
    <w:link w:val="Style_223"/>
    <w:rPr>
      <w:sz w:val="20"/>
    </w:rPr>
  </w:style>
  <w:style w:styleId="Style_224" w:type="paragraph">
    <w:name w:val="Знак1"/>
    <w:basedOn w:val="Style_10"/>
    <w:link w:val="Style_224_ch"/>
    <w:pPr>
      <w:spacing w:after="280" w:before="280"/>
      <w:ind/>
    </w:pPr>
    <w:rPr>
      <w:rFonts w:ascii="Tahoma" w:hAnsi="Tahoma"/>
      <w:sz w:val="20"/>
    </w:rPr>
  </w:style>
  <w:style w:styleId="Style_224_ch" w:type="character">
    <w:name w:val="Знак1"/>
    <w:basedOn w:val="Style_10_ch"/>
    <w:link w:val="Style_224"/>
    <w:rPr>
      <w:rFonts w:ascii="Tahoma" w:hAnsi="Tahoma"/>
      <w:sz w:val="20"/>
    </w:rPr>
  </w:style>
  <w:style w:styleId="Style_225" w:type="paragraph">
    <w:name w:val="Hyperlink1"/>
    <w:link w:val="Style_225_ch"/>
    <w:rPr>
      <w:color w:val="0000FF"/>
      <w:u w:val="single"/>
    </w:rPr>
  </w:style>
  <w:style w:styleId="Style_225_ch" w:type="character">
    <w:name w:val="Hyperlink1"/>
    <w:link w:val="Style_225"/>
    <w:rPr>
      <w:color w:val="0000FF"/>
      <w:u w:val="single"/>
    </w:rPr>
  </w:style>
  <w:style w:styleId="Style_226" w:type="paragraph">
    <w:name w:val="Текст сноски Знак1"/>
    <w:basedOn w:val="Style_37"/>
    <w:link w:val="Style_226_ch"/>
  </w:style>
  <w:style w:styleId="Style_226_ch" w:type="character">
    <w:name w:val="Текст сноски Знак1"/>
    <w:basedOn w:val="Style_37_ch"/>
    <w:link w:val="Style_226"/>
  </w:style>
  <w:style w:styleId="Style_227" w:type="paragraph">
    <w:name w:val="WW8Num6z0"/>
    <w:link w:val="Style_227_ch"/>
    <w:rPr>
      <w:rFonts w:ascii="Symbol" w:hAnsi="Symbol"/>
    </w:rPr>
  </w:style>
  <w:style w:styleId="Style_227_ch" w:type="character">
    <w:name w:val="WW8Num6z0"/>
    <w:link w:val="Style_227"/>
    <w:rPr>
      <w:rFonts w:ascii="Symbol" w:hAnsi="Symbol"/>
    </w:rPr>
  </w:style>
  <w:style w:styleId="Style_228" w:type="paragraph">
    <w:name w:val="WW8Num33z2"/>
    <w:link w:val="Style_228_ch"/>
    <w:rPr>
      <w:rFonts w:ascii="Wingdings" w:hAnsi="Wingdings"/>
    </w:rPr>
  </w:style>
  <w:style w:styleId="Style_228_ch" w:type="character">
    <w:name w:val="WW8Num33z2"/>
    <w:link w:val="Style_228"/>
    <w:rPr>
      <w:rFonts w:ascii="Wingdings" w:hAnsi="Wingdings"/>
    </w:rPr>
  </w:style>
  <w:style w:styleId="Style_229" w:type="paragraph">
    <w:name w:val="Page Number1"/>
    <w:basedOn w:val="Style_37"/>
    <w:link w:val="Style_229_ch"/>
  </w:style>
  <w:style w:styleId="Style_229_ch" w:type="character">
    <w:name w:val="Page Number1"/>
    <w:basedOn w:val="Style_37_ch"/>
    <w:link w:val="Style_229"/>
  </w:style>
  <w:style w:styleId="Style_230" w:type="paragraph">
    <w:name w:val="Гиперссылка2"/>
    <w:link w:val="Style_230_ch"/>
    <w:rPr>
      <w:color w:val="0000FF"/>
      <w:u w:val="single"/>
    </w:rPr>
  </w:style>
  <w:style w:styleId="Style_230_ch" w:type="character">
    <w:name w:val="Гиперссылка2"/>
    <w:link w:val="Style_230"/>
    <w:rPr>
      <w:color w:val="0000FF"/>
      <w:u w:val="single"/>
    </w:rPr>
  </w:style>
  <w:style w:styleId="Style_231" w:type="paragraph">
    <w:name w:val="WW8Num18z0"/>
    <w:link w:val="Style_231_ch"/>
    <w:rPr>
      <w:rFonts w:ascii="Symbol" w:hAnsi="Symbol"/>
    </w:rPr>
  </w:style>
  <w:style w:styleId="Style_231_ch" w:type="character">
    <w:name w:val="WW8Num18z0"/>
    <w:link w:val="Style_231"/>
    <w:rPr>
      <w:rFonts w:ascii="Symbol" w:hAnsi="Symbol"/>
    </w:rPr>
  </w:style>
  <w:style w:styleId="Style_232" w:type="paragraph">
    <w:name w:val="Знак Знак1"/>
    <w:link w:val="Style_232_ch"/>
    <w:rPr>
      <w:sz w:val="24"/>
    </w:rPr>
  </w:style>
  <w:style w:styleId="Style_232_ch" w:type="character">
    <w:name w:val="Знак Знак1"/>
    <w:link w:val="Style_232"/>
    <w:rPr>
      <w:sz w:val="24"/>
    </w:rPr>
  </w:style>
  <w:style w:styleId="Style_233" w:type="paragraph">
    <w:name w:val="Знак Знак4"/>
    <w:link w:val="Style_233_ch"/>
    <w:rPr>
      <w:sz w:val="24"/>
    </w:rPr>
  </w:style>
  <w:style w:styleId="Style_233_ch" w:type="character">
    <w:name w:val="Знак Знак4"/>
    <w:link w:val="Style_233"/>
    <w:rPr>
      <w:sz w:val="24"/>
    </w:rPr>
  </w:style>
  <w:style w:styleId="Style_234" w:type="paragraph">
    <w:name w:val="Нумерованный абзац"/>
    <w:link w:val="Style_234_ch"/>
    <w:pPr>
      <w:numPr>
        <w:numId w:val="9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234_ch" w:type="character">
    <w:name w:val="Нумерованный абзац"/>
    <w:link w:val="Style_234"/>
    <w:rPr>
      <w:sz w:val="28"/>
    </w:rPr>
  </w:style>
  <w:style w:styleId="Style_235" w:type="paragraph">
    <w:name w:val="Знак примечания1"/>
    <w:link w:val="Style_235_ch"/>
    <w:rPr>
      <w:sz w:val="16"/>
    </w:rPr>
  </w:style>
  <w:style w:styleId="Style_235_ch" w:type="character">
    <w:name w:val="Знак примечания1"/>
    <w:link w:val="Style_235"/>
    <w:rPr>
      <w:sz w:val="16"/>
    </w:rPr>
  </w:style>
  <w:style w:styleId="Style_236" w:type="paragraph">
    <w:name w:val="WW8Num16z0"/>
    <w:link w:val="Style_236_ch"/>
  </w:style>
  <w:style w:styleId="Style_236_ch" w:type="character">
    <w:name w:val="WW8Num16z0"/>
    <w:link w:val="Style_236"/>
  </w:style>
  <w:style w:styleId="Style_237" w:type="paragraph">
    <w:name w:val="WW8Num12z0"/>
    <w:link w:val="Style_237_ch"/>
  </w:style>
  <w:style w:styleId="Style_237_ch" w:type="character">
    <w:name w:val="WW8Num12z0"/>
    <w:link w:val="Style_237"/>
  </w:style>
  <w:style w:styleId="Style_238" w:type="paragraph">
    <w:name w:val="WW8Num39z0"/>
    <w:link w:val="Style_238_ch"/>
  </w:style>
  <w:style w:styleId="Style_238_ch" w:type="character">
    <w:name w:val="WW8Num39z0"/>
    <w:link w:val="Style_238"/>
  </w:style>
  <w:style w:styleId="Style_239" w:type="paragraph">
    <w:name w:val="toc 5"/>
    <w:basedOn w:val="Style_10"/>
    <w:next w:val="Style_10"/>
    <w:link w:val="Style_239_ch"/>
    <w:uiPriority w:val="39"/>
    <w:pPr>
      <w:ind w:firstLine="0" w:left="800"/>
    </w:pPr>
    <w:rPr>
      <w:rFonts w:ascii="XO Thames" w:hAnsi="XO Thames"/>
      <w:sz w:val="28"/>
    </w:rPr>
  </w:style>
  <w:style w:styleId="Style_239_ch" w:type="character">
    <w:name w:val="toc 5"/>
    <w:basedOn w:val="Style_10_ch"/>
    <w:link w:val="Style_239"/>
    <w:rPr>
      <w:rFonts w:ascii="XO Thames" w:hAnsi="XO Thames"/>
      <w:sz w:val="28"/>
    </w:rPr>
  </w:style>
  <w:style w:styleId="Style_240" w:type="paragraph">
    <w:name w:val="WW8Num37z0"/>
    <w:link w:val="Style_240_ch"/>
  </w:style>
  <w:style w:styleId="Style_240_ch" w:type="character">
    <w:name w:val="WW8Num37z0"/>
    <w:link w:val="Style_240"/>
  </w:style>
  <w:style w:styleId="Style_241" w:type="paragraph">
    <w:name w:val="WW8Num28z2"/>
    <w:link w:val="Style_241_ch"/>
    <w:rPr>
      <w:rFonts w:ascii="Wingdings" w:hAnsi="Wingdings"/>
    </w:rPr>
  </w:style>
  <w:style w:styleId="Style_241_ch" w:type="character">
    <w:name w:val="WW8Num28z2"/>
    <w:link w:val="Style_241"/>
    <w:rPr>
      <w:rFonts w:ascii="Wingdings" w:hAnsi="Wingdings"/>
    </w:rPr>
  </w:style>
  <w:style w:styleId="Style_242" w:type="paragraph">
    <w:name w:val="Основной текст2"/>
    <w:basedOn w:val="Style_10"/>
    <w:link w:val="Style_242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242_ch" w:type="character">
    <w:name w:val="Основной текст2"/>
    <w:basedOn w:val="Style_10_ch"/>
    <w:link w:val="Style_242"/>
    <w:rPr>
      <w:rFonts w:ascii="Calibri" w:hAnsi="Calibri"/>
      <w:sz w:val="27"/>
    </w:rPr>
  </w:style>
  <w:style w:styleId="Style_243" w:type="paragraph">
    <w:name w:val="Line Number1"/>
    <w:basedOn w:val="Style_12"/>
    <w:link w:val="Style_243_ch"/>
  </w:style>
  <w:style w:styleId="Style_243_ch" w:type="character">
    <w:name w:val="Line Number1"/>
    <w:basedOn w:val="Style_12_ch"/>
    <w:link w:val="Style_243"/>
  </w:style>
  <w:style w:styleId="Style_244" w:type="paragraph">
    <w:name w:val="Указатель1"/>
    <w:basedOn w:val="Style_10"/>
    <w:link w:val="Style_244_ch"/>
    <w:rPr>
      <w:rFonts w:ascii="Arial" w:hAnsi="Arial"/>
    </w:rPr>
  </w:style>
  <w:style w:styleId="Style_244_ch" w:type="character">
    <w:name w:val="Указатель1"/>
    <w:basedOn w:val="Style_10_ch"/>
    <w:link w:val="Style_244"/>
    <w:rPr>
      <w:rFonts w:ascii="Arial" w:hAnsi="Arial"/>
    </w:rPr>
  </w:style>
  <w:style w:styleId="Style_245" w:type="paragraph">
    <w:name w:val="WW8Num15z2"/>
    <w:link w:val="Style_245_ch"/>
    <w:rPr>
      <w:rFonts w:ascii="Wingdings" w:hAnsi="Wingdings"/>
    </w:rPr>
  </w:style>
  <w:style w:styleId="Style_245_ch" w:type="character">
    <w:name w:val="WW8Num15z2"/>
    <w:link w:val="Style_245"/>
    <w:rPr>
      <w:rFonts w:ascii="Wingdings" w:hAnsi="Wingdings"/>
    </w:rPr>
  </w:style>
  <w:style w:styleId="Style_246" w:type="paragraph">
    <w:name w:val="Placeholder Text1"/>
    <w:link w:val="Style_246_ch"/>
    <w:rPr>
      <w:color w:val="808080"/>
    </w:rPr>
  </w:style>
  <w:style w:styleId="Style_246_ch" w:type="character">
    <w:name w:val="Placeholder Text1"/>
    <w:link w:val="Style_246"/>
    <w:rPr>
      <w:color w:val="808080"/>
    </w:rPr>
  </w:style>
  <w:style w:styleId="Style_247" w:type="paragraph">
    <w:name w:val="WW8Num2z0"/>
    <w:link w:val="Style_247_ch"/>
    <w:rPr>
      <w:rFonts w:ascii="Symbol" w:hAnsi="Symbol"/>
    </w:rPr>
  </w:style>
  <w:style w:styleId="Style_247_ch" w:type="character">
    <w:name w:val="WW8Num2z0"/>
    <w:link w:val="Style_247"/>
    <w:rPr>
      <w:rFonts w:ascii="Symbol" w:hAnsi="Symbol"/>
    </w:rPr>
  </w:style>
  <w:style w:styleId="Style_248" w:type="paragraph">
    <w:name w:val="WW8Num3z1"/>
    <w:link w:val="Style_248_ch"/>
    <w:rPr>
      <w:rFonts w:ascii="Courier New" w:hAnsi="Courier New"/>
    </w:rPr>
  </w:style>
  <w:style w:styleId="Style_248_ch" w:type="character">
    <w:name w:val="WW8Num3z1"/>
    <w:link w:val="Style_248"/>
    <w:rPr>
      <w:rFonts w:ascii="Courier New" w:hAnsi="Courier New"/>
    </w:rPr>
  </w:style>
  <w:style w:styleId="Style_249" w:type="paragraph">
    <w:name w:val="WW8Num11z1"/>
    <w:link w:val="Style_249_ch"/>
  </w:style>
  <w:style w:styleId="Style_249_ch" w:type="character">
    <w:name w:val="WW8Num11z1"/>
    <w:link w:val="Style_249"/>
  </w:style>
  <w:style w:styleId="Style_250" w:type="paragraph">
    <w:name w:val="header"/>
    <w:basedOn w:val="Style_10"/>
    <w:link w:val="Style_250_ch"/>
    <w:pPr>
      <w:tabs>
        <w:tab w:leader="none" w:pos="4677" w:val="center"/>
        <w:tab w:leader="none" w:pos="9355" w:val="right"/>
      </w:tabs>
      <w:ind/>
    </w:pPr>
  </w:style>
  <w:style w:styleId="Style_250_ch" w:type="character">
    <w:name w:val="header"/>
    <w:basedOn w:val="Style_10_ch"/>
    <w:link w:val="Style_250"/>
  </w:style>
  <w:style w:styleId="Style_251" w:type="paragraph">
    <w:name w:val="Подпись к таблице (2)"/>
    <w:basedOn w:val="Style_10"/>
    <w:link w:val="Style_251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251_ch" w:type="character">
    <w:name w:val="Подпись к таблице (2)"/>
    <w:basedOn w:val="Style_10_ch"/>
    <w:link w:val="Style_251"/>
    <w:rPr>
      <w:b w:val="1"/>
      <w:spacing w:val="-5"/>
      <w:sz w:val="18"/>
    </w:rPr>
  </w:style>
  <w:style w:styleId="Style_252" w:type="paragraph">
    <w:name w:val="Основной текст 2 Знак1"/>
    <w:link w:val="Style_252_ch"/>
    <w:rPr>
      <w:sz w:val="24"/>
    </w:rPr>
  </w:style>
  <w:style w:styleId="Style_252_ch" w:type="character">
    <w:name w:val="Основной текст 2 Знак1"/>
    <w:link w:val="Style_252"/>
    <w:rPr>
      <w:sz w:val="24"/>
    </w:rPr>
  </w:style>
  <w:style w:styleId="Style_253" w:type="paragraph">
    <w:name w:val="Подпись к таблице (2)_"/>
    <w:link w:val="Style_253_ch"/>
    <w:rPr>
      <w:b w:val="1"/>
      <w:spacing w:val="-5"/>
      <w:sz w:val="18"/>
    </w:rPr>
  </w:style>
  <w:style w:styleId="Style_253_ch" w:type="character">
    <w:name w:val="Подпись к таблице (2)_"/>
    <w:link w:val="Style_253"/>
    <w:rPr>
      <w:b w:val="1"/>
      <w:spacing w:val="-5"/>
      <w:sz w:val="18"/>
    </w:rPr>
  </w:style>
  <w:style w:styleId="Style_254" w:type="paragraph">
    <w:name w:val="WW8Num13z1"/>
    <w:link w:val="Style_254_ch"/>
    <w:rPr>
      <w:rFonts w:ascii="Courier New" w:hAnsi="Courier New"/>
    </w:rPr>
  </w:style>
  <w:style w:styleId="Style_254_ch" w:type="character">
    <w:name w:val="WW8Num13z1"/>
    <w:link w:val="Style_254"/>
    <w:rPr>
      <w:rFonts w:ascii="Courier New" w:hAnsi="Courier New"/>
    </w:rPr>
  </w:style>
  <w:style w:styleId="Style_255" w:type="paragraph">
    <w:name w:val="WW8Num20z0"/>
    <w:link w:val="Style_255_ch"/>
    <w:rPr>
      <w:b w:val="1"/>
      <w:i w:val="1"/>
    </w:rPr>
  </w:style>
  <w:style w:styleId="Style_255_ch" w:type="character">
    <w:name w:val="WW8Num20z0"/>
    <w:link w:val="Style_255"/>
    <w:rPr>
      <w:b w:val="1"/>
      <w:i w:val="1"/>
    </w:rPr>
  </w:style>
  <w:style w:styleId="Style_256" w:type="paragraph">
    <w:name w:val="ConsPlusNormal Знак"/>
    <w:link w:val="Style_256_ch"/>
    <w:rPr>
      <w:rFonts w:ascii="Arial" w:hAnsi="Arial"/>
    </w:rPr>
  </w:style>
  <w:style w:styleId="Style_256_ch" w:type="character">
    <w:name w:val="ConsPlusNormal Знак"/>
    <w:link w:val="Style_256"/>
    <w:rPr>
      <w:rFonts w:ascii="Arial" w:hAnsi="Arial"/>
    </w:rPr>
  </w:style>
  <w:style w:styleId="Style_257" w:type="paragraph">
    <w:name w:val="Subtitle"/>
    <w:basedOn w:val="Style_20"/>
    <w:next w:val="Style_6"/>
    <w:link w:val="Style_257_ch"/>
    <w:uiPriority w:val="11"/>
    <w:qFormat/>
    <w:pPr>
      <w:ind/>
      <w:jc w:val="center"/>
    </w:pPr>
    <w:rPr>
      <w:i w:val="1"/>
    </w:rPr>
  </w:style>
  <w:style w:styleId="Style_257_ch" w:type="character">
    <w:name w:val="Subtitle"/>
    <w:basedOn w:val="Style_20_ch"/>
    <w:link w:val="Style_257"/>
    <w:rPr>
      <w:i w:val="1"/>
    </w:rPr>
  </w:style>
  <w:style w:styleId="Style_258" w:type="paragraph">
    <w:name w:val="Знак Знак Знак1 Знак Знак Знак Знак2"/>
    <w:basedOn w:val="Style_10"/>
    <w:link w:val="Style_25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58_ch" w:type="character">
    <w:name w:val="Знак Знак Знак1 Знак Знак Знак Знак2"/>
    <w:basedOn w:val="Style_10_ch"/>
    <w:link w:val="Style_258"/>
    <w:rPr>
      <w:rFonts w:ascii="Tahoma" w:hAnsi="Tahoma"/>
      <w:sz w:val="20"/>
    </w:rPr>
  </w:style>
  <w:style w:styleId="Style_259" w:type="paragraph">
    <w:name w:val="WW8Num1z5"/>
    <w:link w:val="Style_259_ch"/>
  </w:style>
  <w:style w:styleId="Style_259_ch" w:type="character">
    <w:name w:val="WW8Num1z5"/>
    <w:link w:val="Style_259"/>
  </w:style>
  <w:style w:styleId="Style_260" w:type="paragraph">
    <w:name w:val="WW8Num35z0"/>
    <w:link w:val="Style_260_ch"/>
  </w:style>
  <w:style w:styleId="Style_260_ch" w:type="character">
    <w:name w:val="WW8Num35z0"/>
    <w:link w:val="Style_260"/>
  </w:style>
  <w:style w:styleId="Style_261" w:type="paragraph">
    <w:name w:val="Balloon Text"/>
    <w:basedOn w:val="Style_10"/>
    <w:link w:val="Style_261_ch"/>
    <w:rPr>
      <w:rFonts w:ascii="Tahoma" w:hAnsi="Tahoma"/>
      <w:sz w:val="16"/>
    </w:rPr>
  </w:style>
  <w:style w:styleId="Style_261_ch" w:type="character">
    <w:name w:val="Balloon Text"/>
    <w:basedOn w:val="Style_10_ch"/>
    <w:link w:val="Style_261"/>
    <w:rPr>
      <w:rFonts w:ascii="Tahoma" w:hAnsi="Tahoma"/>
      <w:sz w:val="16"/>
    </w:rPr>
  </w:style>
  <w:style w:styleId="Style_262" w:type="paragraph">
    <w:name w:val="Гипертекстовая ссылка"/>
    <w:link w:val="Style_262_ch"/>
    <w:rPr>
      <w:b w:val="1"/>
      <w:color w:val="106BBE"/>
    </w:rPr>
  </w:style>
  <w:style w:styleId="Style_262_ch" w:type="character">
    <w:name w:val="Гипертекстовая ссылка"/>
    <w:link w:val="Style_262"/>
    <w:rPr>
      <w:b w:val="1"/>
      <w:color w:val="106BBE"/>
    </w:rPr>
  </w:style>
  <w:style w:styleId="Style_263" w:type="paragraph">
    <w:name w:val="Основной шрифт абзаца3"/>
    <w:link w:val="Style_263_ch"/>
  </w:style>
  <w:style w:styleId="Style_263_ch" w:type="character">
    <w:name w:val="Основной шрифт абзаца3"/>
    <w:link w:val="Style_263"/>
  </w:style>
  <w:style w:styleId="Style_2" w:type="paragraph">
    <w:name w:val="Title"/>
    <w:basedOn w:val="Style_10"/>
    <w:next w:val="Style_257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0_ch"/>
    <w:link w:val="Style_2"/>
    <w:rPr>
      <w:sz w:val="28"/>
    </w:rPr>
  </w:style>
  <w:style w:styleId="Style_264" w:type="paragraph">
    <w:name w:val="Основной шрифт абзаца1"/>
    <w:link w:val="Style_264_ch"/>
  </w:style>
  <w:style w:styleId="Style_264_ch" w:type="character">
    <w:name w:val="Основной шрифт абзаца1"/>
    <w:link w:val="Style_264"/>
  </w:style>
  <w:style w:styleId="Style_265" w:type="paragraph">
    <w:name w:val="heading 4"/>
    <w:basedOn w:val="Style_10"/>
    <w:next w:val="Style_10"/>
    <w:link w:val="Style_265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b w:val="1"/>
      <w:sz w:val="28"/>
    </w:rPr>
  </w:style>
  <w:style w:styleId="Style_265_ch" w:type="character">
    <w:name w:val="heading 4"/>
    <w:basedOn w:val="Style_10_ch"/>
    <w:link w:val="Style_265"/>
    <w:rPr>
      <w:b w:val="1"/>
      <w:sz w:val="28"/>
    </w:rPr>
  </w:style>
  <w:style w:styleId="Style_266" w:type="paragraph">
    <w:name w:val="NormalANX"/>
    <w:basedOn w:val="Style_10"/>
    <w:link w:val="Style_266_ch"/>
    <w:pPr>
      <w:spacing w:after="240" w:before="240" w:line="360" w:lineRule="auto"/>
      <w:ind w:firstLine="720" w:left="0"/>
      <w:jc w:val="both"/>
    </w:pPr>
    <w:rPr>
      <w:sz w:val="28"/>
    </w:rPr>
  </w:style>
  <w:style w:styleId="Style_266_ch" w:type="character">
    <w:name w:val="NormalANX"/>
    <w:basedOn w:val="Style_10_ch"/>
    <w:link w:val="Style_266"/>
    <w:rPr>
      <w:sz w:val="28"/>
    </w:rPr>
  </w:style>
  <w:style w:styleId="Style_267" w:type="paragraph">
    <w:name w:val="Обычный14"/>
    <w:link w:val="Style_267_ch"/>
    <w:rPr>
      <w:sz w:val="24"/>
    </w:rPr>
  </w:style>
  <w:style w:styleId="Style_267_ch" w:type="character">
    <w:name w:val="Обычный14"/>
    <w:link w:val="Style_267"/>
    <w:rPr>
      <w:sz w:val="24"/>
    </w:rPr>
  </w:style>
  <w:style w:styleId="Style_6" w:type="paragraph">
    <w:name w:val="Body Text"/>
    <w:basedOn w:val="Style_10"/>
    <w:link w:val="Style_6_ch"/>
    <w:pPr>
      <w:spacing w:after="120"/>
      <w:ind/>
    </w:pPr>
  </w:style>
  <w:style w:styleId="Style_6_ch" w:type="character">
    <w:name w:val="Body Text"/>
    <w:basedOn w:val="Style_10_ch"/>
    <w:link w:val="Style_6"/>
  </w:style>
  <w:style w:styleId="Style_268" w:type="paragraph">
    <w:name w:val="WW8Num36z0"/>
    <w:link w:val="Style_268_ch"/>
  </w:style>
  <w:style w:styleId="Style_268_ch" w:type="character">
    <w:name w:val="WW8Num36z0"/>
    <w:link w:val="Style_268"/>
  </w:style>
  <w:style w:styleId="Style_188" w:type="paragraph">
    <w:name w:val="Содержимое таблицы"/>
    <w:basedOn w:val="Style_10"/>
    <w:link w:val="Style_188_ch"/>
  </w:style>
  <w:style w:styleId="Style_188_ch" w:type="character">
    <w:name w:val="Содержимое таблицы"/>
    <w:basedOn w:val="Style_10_ch"/>
    <w:link w:val="Style_188"/>
  </w:style>
  <w:style w:styleId="Style_269" w:type="paragraph">
    <w:name w:val="Знак3"/>
    <w:basedOn w:val="Style_10"/>
    <w:link w:val="Style_26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69_ch" w:type="character">
    <w:name w:val="Знак3"/>
    <w:basedOn w:val="Style_10_ch"/>
    <w:link w:val="Style_269"/>
    <w:rPr>
      <w:rFonts w:ascii="Verdana" w:hAnsi="Verdana"/>
      <w:sz w:val="20"/>
    </w:rPr>
  </w:style>
  <w:style w:styleId="Style_5" w:type="paragraph">
    <w:name w:val="heading 2"/>
    <w:basedOn w:val="Style_10"/>
    <w:next w:val="Style_10"/>
    <w:link w:val="Style_5_ch"/>
    <w:uiPriority w:val="9"/>
    <w:qFormat/>
    <w:pPr>
      <w:keepNext w:val="1"/>
      <w:numPr>
        <w:ilvl w:val="1"/>
        <w:numId w:val="8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5_ch" w:type="character">
    <w:name w:val="heading 2"/>
    <w:basedOn w:val="Style_10_ch"/>
    <w:link w:val="Style_5"/>
    <w:rPr>
      <w:rFonts w:ascii="Arial" w:hAnsi="Arial"/>
      <w:b w:val="1"/>
      <w:sz w:val="22"/>
    </w:rPr>
  </w:style>
  <w:style w:styleId="Style_270" w:type="paragraph">
    <w:name w:val="WW8Num9z0"/>
    <w:link w:val="Style_270_ch"/>
  </w:style>
  <w:style w:styleId="Style_270_ch" w:type="character">
    <w:name w:val="WW8Num9z0"/>
    <w:link w:val="Style_270"/>
  </w:style>
  <w:style w:styleId="Style_271" w:type="paragraph">
    <w:name w:val="ConsNormal"/>
    <w:link w:val="Style_271_ch"/>
    <w:pPr>
      <w:widowControl w:val="0"/>
      <w:ind w:firstLine="720" w:left="0"/>
    </w:pPr>
    <w:rPr>
      <w:rFonts w:ascii="Arial" w:hAnsi="Arial"/>
    </w:rPr>
  </w:style>
  <w:style w:styleId="Style_271_ch" w:type="character">
    <w:name w:val="ConsNormal"/>
    <w:link w:val="Style_271"/>
    <w:rPr>
      <w:rFonts w:ascii="Arial" w:hAnsi="Arial"/>
    </w:rPr>
  </w:style>
  <w:style w:styleId="Style_272" w:type="paragraph">
    <w:name w:val="Знак Знак2"/>
    <w:link w:val="Style_272_ch"/>
    <w:rPr>
      <w:sz w:val="24"/>
    </w:rPr>
  </w:style>
  <w:style w:styleId="Style_272_ch" w:type="character">
    <w:name w:val="Знак Знак2"/>
    <w:link w:val="Style_272"/>
    <w:rPr>
      <w:sz w:val="24"/>
    </w:rPr>
  </w:style>
  <w:style w:styleId="Style_8" w:type="paragraph">
    <w:name w:val="List Paragraph"/>
    <w:basedOn w:val="Style_10"/>
    <w:link w:val="Style_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8_ch" w:type="character">
    <w:name w:val="List Paragraph"/>
    <w:basedOn w:val="Style_10_ch"/>
    <w:link w:val="Style_8"/>
    <w:rPr>
      <w:rFonts w:ascii="Calibri" w:hAnsi="Calibri"/>
      <w:sz w:val="22"/>
    </w:rPr>
  </w:style>
  <w:style w:styleId="Style_273" w:type="paragraph">
    <w:name w:val="Содержимое врезки"/>
    <w:basedOn w:val="Style_6"/>
    <w:link w:val="Style_273_ch"/>
  </w:style>
  <w:style w:styleId="Style_273_ch" w:type="character">
    <w:name w:val="Содержимое врезки"/>
    <w:basedOn w:val="Style_6_ch"/>
    <w:link w:val="Style_273"/>
  </w:style>
  <w:style w:styleId="Style_274" w:type="paragraph">
    <w:name w:val="Основной текст с отступом Знак"/>
    <w:link w:val="Style_274_ch"/>
    <w:rPr>
      <w:sz w:val="24"/>
    </w:rPr>
  </w:style>
  <w:style w:styleId="Style_274_ch" w:type="character">
    <w:name w:val="Основной текст с отступом Знак"/>
    <w:link w:val="Style_274"/>
    <w:rPr>
      <w:sz w:val="24"/>
    </w:rPr>
  </w:style>
  <w:style w:styleId="Style_275" w:type="paragraph">
    <w:name w:val="Emphasis1"/>
    <w:link w:val="Style_275_ch"/>
    <w:rPr>
      <w:i w:val="1"/>
    </w:rPr>
  </w:style>
  <w:style w:styleId="Style_275_ch" w:type="character">
    <w:name w:val="Emphasis1"/>
    <w:link w:val="Style_275"/>
    <w:rPr>
      <w:i w:val="1"/>
    </w:rPr>
  </w:style>
  <w:style w:styleId="Style_276" w:type="paragraph">
    <w:name w:val="fn2r"/>
    <w:basedOn w:val="Style_10"/>
    <w:link w:val="Style_276_ch"/>
    <w:pPr>
      <w:spacing w:after="280" w:before="280"/>
      <w:ind/>
    </w:pPr>
  </w:style>
  <w:style w:styleId="Style_276_ch" w:type="character">
    <w:name w:val="fn2r"/>
    <w:basedOn w:val="Style_10_ch"/>
    <w:link w:val="Style_276"/>
  </w:style>
  <w:style w:styleId="Style_277" w:type="paragraph">
    <w:name w:val="heading 6"/>
    <w:basedOn w:val="Style_10"/>
    <w:next w:val="Style_10"/>
    <w:link w:val="Style_277_ch"/>
    <w:uiPriority w:val="9"/>
    <w:qFormat/>
    <w:pPr>
      <w:numPr>
        <w:ilvl w:val="5"/>
        <w:numId w:val="8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77_ch" w:type="character">
    <w:name w:val="heading 6"/>
    <w:basedOn w:val="Style_10_ch"/>
    <w:link w:val="Style_277"/>
    <w:rPr>
      <w:rFonts w:ascii="Calibri" w:hAnsi="Calibri"/>
      <w:b w:val="1"/>
      <w:sz w:val="22"/>
    </w:rPr>
  </w:style>
  <w:style w:styleId="Style_278" w:type="paragraph">
    <w:name w:val="WW8Num28z3"/>
    <w:link w:val="Style_278_ch"/>
    <w:rPr>
      <w:rFonts w:ascii="Symbol" w:hAnsi="Symbol"/>
    </w:rPr>
  </w:style>
  <w:style w:styleId="Style_278_ch" w:type="character">
    <w:name w:val="WW8Num28z3"/>
    <w:link w:val="Style_278"/>
    <w:rPr>
      <w:rFonts w:ascii="Symbol" w:hAnsi="Symbol"/>
    </w:rPr>
  </w:style>
  <w:style w:styleId="Style_279" w:type="paragraph">
    <w:name w:val="Нормальный (таблица)"/>
    <w:basedOn w:val="Style_10"/>
    <w:next w:val="Style_10"/>
    <w:link w:val="Style_279_ch"/>
    <w:pPr>
      <w:ind/>
      <w:jc w:val="both"/>
    </w:pPr>
    <w:rPr>
      <w:rFonts w:ascii="Arial" w:hAnsi="Arial"/>
    </w:rPr>
  </w:style>
  <w:style w:styleId="Style_279_ch" w:type="character">
    <w:name w:val="Нормальный (таблица)"/>
    <w:basedOn w:val="Style_10_ch"/>
    <w:link w:val="Style_279"/>
    <w:rPr>
      <w:rFonts w:ascii="Arial" w:hAnsi="Arial"/>
    </w:rPr>
  </w:style>
  <w:style w:styleId="Style_280" w:type="paragraph">
    <w:name w:val="ConsPlusNonformat"/>
    <w:link w:val="Style_280_ch"/>
    <w:pPr>
      <w:widowControl w:val="0"/>
      <w:ind/>
    </w:pPr>
    <w:rPr>
      <w:rFonts w:ascii="Courier New" w:hAnsi="Courier New"/>
    </w:rPr>
  </w:style>
  <w:style w:styleId="Style_280_ch" w:type="character">
    <w:name w:val="ConsPlusNonformat"/>
    <w:link w:val="Style_280"/>
    <w:rPr>
      <w:rFonts w:ascii="Courier New" w:hAnsi="Courier New"/>
    </w:rPr>
  </w:style>
  <w:style w:styleId="Style_281" w:type="paragraph">
    <w:name w:val="Footer Char3"/>
    <w:basedOn w:val="Style_264"/>
    <w:link w:val="Style_281_ch"/>
    <w:rPr>
      <w:sz w:val="24"/>
    </w:rPr>
  </w:style>
  <w:style w:styleId="Style_281_ch" w:type="character">
    <w:name w:val="Footer Char3"/>
    <w:basedOn w:val="Style_264_ch"/>
    <w:link w:val="Style_281"/>
    <w:rPr>
      <w:sz w:val="24"/>
    </w:rPr>
  </w:style>
  <w:style w:styleId="Style_121" w:type="paragraph">
    <w:name w:val="Normal12"/>
    <w:link w:val="Style_121_ch"/>
    <w:rPr>
      <w:sz w:val="24"/>
    </w:rPr>
  </w:style>
  <w:style w:styleId="Style_121_ch" w:type="character">
    <w:name w:val="Normal12"/>
    <w:link w:val="Style_121"/>
    <w:rPr>
      <w:sz w:val="24"/>
    </w:rPr>
  </w:style>
  <w:style w:styleId="Style_282" w:type="table">
    <w:name w:val="Сетка таблицы2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83" w:type="table">
    <w:name w:val="Table Grid"/>
    <w:basedOn w:val="Style_4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4" w:type="table">
    <w:name w:val="Сетка таблицы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5" w:type="table">
    <w:name w:val="Сетка таблицы1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2023-12-27T10:30:37Z</dcterms:modified>
</cp:coreProperties>
</file>