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Российская федерация</w:t>
      </w:r>
    </w:p>
    <w:p w14:paraId="06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ростовская область</w:t>
      </w:r>
    </w:p>
    <w:p w14:paraId="07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куйбышевскОГО районА</w:t>
      </w:r>
    </w:p>
    <w:p w14:paraId="08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D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0E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28.04.2023                           х.Кринично-Лугский                   </w:t>
      </w:r>
      <w:r>
        <w:rPr>
          <w:rFonts w:ascii="Times New Roman" w:hAnsi="Times New Roman"/>
          <w:b w:val="0"/>
          <w:sz w:val="28"/>
        </w:rPr>
        <w:t xml:space="preserve">             № 80  </w:t>
      </w:r>
    </w:p>
    <w:p w14:paraId="10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бюджета 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Кринично-Лугского сельского поселения Куйбышевского района за 2022 год</w:t>
      </w:r>
    </w:p>
    <w:p w14:paraId="13000000">
      <w:pPr>
        <w:ind w:firstLine="510" w:left="0"/>
        <w:jc w:val="center"/>
        <w:rPr>
          <w:b w:val="1"/>
          <w:sz w:val="28"/>
        </w:rPr>
      </w:pPr>
    </w:p>
    <w:p w14:paraId="14000000">
      <w:pPr>
        <w:ind w:firstLine="900" w:left="0"/>
        <w:jc w:val="both"/>
        <w:rPr>
          <w:sz w:val="26"/>
        </w:rPr>
      </w:pPr>
      <w:r>
        <w:rPr>
          <w:sz w:val="26"/>
        </w:rPr>
        <w:t>В соответствии с Уставом Кринично-Лугского сельского поселения, на основании Положения о бюджетном процессе муниц</w:t>
      </w:r>
      <w:r>
        <w:rPr>
          <w:sz w:val="26"/>
        </w:rPr>
        <w:t>ипального образования  «Кринично-Лугское сельское поселение» Собрание депутатов Кринично-Лугского сельского поселения РЕШИЛО:</w:t>
      </w:r>
    </w:p>
    <w:p w14:paraId="15000000">
      <w:pPr>
        <w:ind w:firstLine="510" w:left="0"/>
        <w:jc w:val="center"/>
        <w:rPr>
          <w:sz w:val="28"/>
        </w:rPr>
      </w:pPr>
    </w:p>
    <w:p w14:paraId="16000000">
      <w:pPr>
        <w:ind w:firstLine="720" w:left="0"/>
        <w:jc w:val="both"/>
        <w:rPr>
          <w:sz w:val="26"/>
        </w:rPr>
      </w:pPr>
      <w:r>
        <w:rPr>
          <w:sz w:val="26"/>
        </w:rPr>
        <w:t>1. Утвердить отчет об исполнении бюджета Кринично-Лугского сельского поселения Куйбышевского района за 2022 год по доходам в сумм</w:t>
      </w:r>
      <w:r>
        <w:rPr>
          <w:sz w:val="26"/>
        </w:rPr>
        <w:t>е 23 689,3 тыс. рублей и расходам в сумме 24 074,1 тыс. рублей с превышением доходов над расходами (с дефицитом бюджета поселения) в сумме 384,8 тыс. рублей и со следующими показателями:</w:t>
      </w:r>
    </w:p>
    <w:p w14:paraId="17000000">
      <w:pPr>
        <w:ind w:firstLine="737" w:left="0"/>
        <w:jc w:val="both"/>
        <w:rPr>
          <w:sz w:val="26"/>
        </w:rPr>
      </w:pPr>
      <w:r>
        <w:rPr>
          <w:sz w:val="26"/>
        </w:rPr>
        <w:t>1) по доходам бюджета Кринично-Лугского сельского поселения Куйбышевс</w:t>
      </w:r>
      <w:r>
        <w:rPr>
          <w:sz w:val="26"/>
        </w:rPr>
        <w:t>кого района по кодам классификации доходов бюджетов за 2022 год согласно приложению 1 к настоящему проекту решения;</w:t>
      </w:r>
    </w:p>
    <w:p w14:paraId="18000000">
      <w:pPr>
        <w:ind w:firstLine="737" w:left="0"/>
        <w:jc w:val="both"/>
        <w:rPr>
          <w:sz w:val="26"/>
        </w:rPr>
      </w:pPr>
      <w:r>
        <w:rPr>
          <w:sz w:val="26"/>
        </w:rPr>
        <w:t>2) по расходам бюджета Кринично-Лугского сельского поселения Куйбышевского района по ведомственной структуре расходов бюджета за 2022 год со</w:t>
      </w:r>
      <w:r>
        <w:rPr>
          <w:sz w:val="26"/>
        </w:rPr>
        <w:t>гласно приложению 2 к настоящему проекту решения;</w:t>
      </w:r>
    </w:p>
    <w:p w14:paraId="19000000">
      <w:pPr>
        <w:ind w:firstLine="737" w:left="0"/>
        <w:jc w:val="both"/>
        <w:rPr>
          <w:sz w:val="26"/>
        </w:rPr>
      </w:pPr>
      <w:r>
        <w:rPr>
          <w:sz w:val="26"/>
        </w:rPr>
        <w:t>3) по расходам бюджета Кринично-Лугского сельского поселения Куйбышевского района по разделам и подразделам классификации расходов бюджетов за 2022 год согласно приложению 3 к настоящему проекту решения;</w:t>
      </w:r>
    </w:p>
    <w:p w14:paraId="1A000000">
      <w:pPr>
        <w:ind w:firstLine="737" w:left="0"/>
        <w:jc w:val="both"/>
        <w:rPr>
          <w:sz w:val="26"/>
        </w:rPr>
      </w:pPr>
      <w:r>
        <w:rPr>
          <w:sz w:val="26"/>
        </w:rPr>
        <w:t>4) по источникам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 2022 год согласно приложению 4 к настоящему проекту решения.</w:t>
      </w:r>
    </w:p>
    <w:p w14:paraId="1B000000">
      <w:pPr>
        <w:ind w:firstLine="709" w:left="0"/>
        <w:jc w:val="both"/>
        <w:rPr>
          <w:sz w:val="26"/>
        </w:rPr>
      </w:pPr>
      <w:r>
        <w:rPr>
          <w:sz w:val="26"/>
        </w:rPr>
        <w:t>2. Настоящее Ре</w:t>
      </w:r>
      <w:r>
        <w:rPr>
          <w:sz w:val="26"/>
        </w:rPr>
        <w:t>шение вступает в силу со дня его официального опубликования.</w:t>
      </w:r>
    </w:p>
    <w:p w14:paraId="1C000000">
      <w:pPr>
        <w:ind w:firstLine="720" w:left="0"/>
        <w:jc w:val="both"/>
        <w:rPr>
          <w:sz w:val="26"/>
        </w:rPr>
      </w:pPr>
      <w:r>
        <w:rPr>
          <w:sz w:val="26"/>
        </w:rPr>
        <w:t>3. Контроль за исполнением настоящего решения возложить на постоянную комиссию по бюджету, налогам и собственности (</w:t>
      </w:r>
      <w:r>
        <w:rPr>
          <w:sz w:val="26"/>
        </w:rPr>
        <w:t xml:space="preserve">председатель постоянной комиссии </w:t>
      </w:r>
      <w:r>
        <w:rPr>
          <w:sz w:val="26"/>
        </w:rPr>
        <w:t>Лавришко</w:t>
      </w:r>
      <w:r>
        <w:rPr>
          <w:sz w:val="26"/>
        </w:rPr>
        <w:t xml:space="preserve"> О.В.</w:t>
      </w:r>
      <w:r>
        <w:rPr>
          <w:sz w:val="26"/>
        </w:rPr>
        <w:t>)</w:t>
      </w:r>
    </w:p>
    <w:p w14:paraId="1D000000">
      <w:pPr>
        <w:ind/>
        <w:jc w:val="both"/>
        <w:rPr>
          <w:sz w:val="28"/>
        </w:rPr>
      </w:pPr>
      <w:bookmarkStart w:id="1" w:name="_GoBack"/>
      <w:bookmarkEnd w:id="1"/>
    </w:p>
    <w:p w14:paraId="1E000000">
      <w:pPr>
        <w:ind/>
        <w:jc w:val="both"/>
        <w:rPr>
          <w:sz w:val="26"/>
        </w:rPr>
      </w:pPr>
      <w:r>
        <w:rPr>
          <w:sz w:val="26"/>
        </w:rPr>
        <w:t>Председатель Собрания депутатов</w:t>
      </w:r>
    </w:p>
    <w:p w14:paraId="1F000000">
      <w:pPr>
        <w:ind/>
        <w:jc w:val="both"/>
        <w:rPr>
          <w:sz w:val="26"/>
        </w:rPr>
      </w:pPr>
      <w:r>
        <w:rPr>
          <w:sz w:val="26"/>
        </w:rPr>
        <w:t>-Глава Кринично-Лугского сельского поселения                                И.А. Каркалёва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397"/>
        <w:gridCol w:w="5297"/>
      </w:tblGrid>
      <w:tr>
        <w:trPr>
          <w:trHeight w:hRule="atLeast" w:val="719"/>
        </w:trPr>
        <w:tc>
          <w:tcPr>
            <w:tcW w:type="dxa" w:w="4397"/>
            <w:shd w:fill="auto" w:val="clear"/>
          </w:tcPr>
          <w:p w14:paraId="22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5297"/>
            <w:shd w:fill="auto" w:val="clear"/>
          </w:tcPr>
          <w:p w14:paraId="23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1 </w:t>
            </w:r>
          </w:p>
          <w:p w14:paraId="24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25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  <w:p w14:paraId="26000000">
            <w:pPr>
              <w:widowControl w:val="0"/>
              <w:ind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28.04.2023 № 80 </w:t>
            </w:r>
          </w:p>
        </w:tc>
      </w:tr>
    </w:tbl>
    <w:p w14:paraId="27000000">
      <w:pPr>
        <w:widowControl w:val="0"/>
        <w:ind/>
        <w:jc w:val="both"/>
        <w:rPr>
          <w:sz w:val="28"/>
        </w:rPr>
      </w:pPr>
    </w:p>
    <w:p w14:paraId="28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Доходы бюджета 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бюджета за 2022 год </w:t>
      </w:r>
    </w:p>
    <w:p w14:paraId="29000000">
      <w:pPr>
        <w:spacing w:line="216" w:lineRule="auto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2A000000">
      <w:pPr>
        <w:widowControl w:val="0"/>
        <w:ind/>
        <w:jc w:val="both"/>
      </w:pPr>
    </w:p>
    <w:tbl>
      <w:tblPr>
        <w:tblStyle w:val="Style_3"/>
        <w:tblLayout w:type="fixed"/>
      </w:tblPr>
      <w:tblGrid>
        <w:gridCol w:w="606"/>
        <w:gridCol w:w="2755"/>
        <w:gridCol w:w="4577"/>
        <w:gridCol w:w="1709"/>
      </w:tblGrid>
      <w:tr>
        <w:trPr>
          <w:trHeight w:hRule="atLeast" w:val="1030"/>
        </w:trPr>
        <w:tc>
          <w:tcPr>
            <w:tcW w:type="dxa" w:w="3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</w:pP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both"/>
            </w:pP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23 689,3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r>
              <w:t>1 00 00000 00 0000</w:t>
            </w:r>
            <w:r>
              <w:t xml:space="preserve"> 000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14 252,3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r>
              <w:t>1 01 00000 00 0000 000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3 177,6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r>
              <w:t>1 01 02000 01 0000 110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3 177,6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r>
              <w:t>1 01 02010 01 0000 110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источником </w:t>
            </w:r>
            <w:r>
              <w:rPr>
                <w:sz w:val="28"/>
              </w:rPr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2 354,1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keepNext w:val="1"/>
              <w:keepLines w:val="1"/>
              <w:ind/>
            </w:pPr>
            <w:r>
              <w:t>1 01 02020 01 0000 110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 xml:space="preserve">Налог на доходы </w:t>
            </w:r>
            <w:r>
              <w:rPr>
                <w:sz w:val="26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sz w:val="26"/>
              </w:rPr>
              <w:t xml:space="preserve">имающихся частной практикой в соответствии со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HYPERLINK "consultantplus://offline/ref=3886373B07D1A1BE96BEC973003F077727948F3930DC0D2F6560E6D5E4473B10C6269013684Bq81CG"</w:instrText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статьей 227</w:t>
            </w:r>
            <w:r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>
        <w:trPr>
          <w:trHeight w:hRule="atLeast" w:val="157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keepNext w:val="1"/>
              <w:keepLines w:val="1"/>
              <w:ind/>
            </w:pPr>
            <w:r>
              <w:t>1 01 02030 01 0000 110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"consultantplus://offline/ref=3886373B07D1A1BE96BEC973003F077727948F3930DC0D2F6560E6D5E4473B10C6269011684B813Eq016G"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статьей 228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Налогового кодекса Россий</w:t>
            </w:r>
            <w:r>
              <w:rPr>
                <w:sz w:val="28"/>
              </w:rPr>
              <w:t>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61,7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keepNext w:val="1"/>
              <w:keepLines w:val="1"/>
              <w:ind/>
            </w:pPr>
            <w:r>
              <w:t>1 01 02080 01 0000 110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749,3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r>
              <w:t>1 05 00000 00 0000 000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z w:val="28"/>
              </w:rPr>
              <w:t>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r>
              <w:t>1 05 03000 01 0000 110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r>
              <w:t>1 05 03010 01 0000 110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r>
              <w:t>1 06 00000 00 0000 000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6 247,7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r>
              <w:t>1 06 01000 00 0000 110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 xml:space="preserve">Налог на имущество </w:t>
            </w:r>
            <w:r>
              <w:rPr>
                <w:sz w:val="28"/>
              </w:rPr>
              <w:t>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r>
              <w:t>1 06 01030 10 0000 110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r>
              <w:t>1 06 06000 00 0000 110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5 926,2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r>
              <w:t xml:space="preserve">1 </w:t>
            </w:r>
            <w:r>
              <w:t>06 06030 00 0000 110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r>
              <w:t>1 06 06033 10 0000 110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r>
              <w:t>1 06 06040 00 0000 110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</w:t>
            </w:r>
            <w:r>
              <w:rPr>
                <w:sz w:val="28"/>
              </w:rPr>
              <w:t>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r>
              <w:t>1 06 06043 10 0000 110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518,6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r>
              <w:t>1 08 00000 00 0000 000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r>
              <w:t>1 08 04000 01 0000 110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81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r>
              <w:t>1 08 04020 01 0000 110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Государственная </w:t>
            </w:r>
            <w:r>
              <w:rPr>
                <w:sz w:val="28"/>
              </w:rPr>
              <w:t>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27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r>
              <w:t>1 11 00000 00 0000 000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</w:pPr>
            <w:r>
              <w:t xml:space="preserve">ДОХОДЫ ОТ </w:t>
            </w:r>
            <w: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r>
              <w:t>1 11 05000 00 0000 120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sz w:val="28"/>
              </w:rPr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r>
              <w:t>1 11 05020 00 0000 120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>
              <w:rPr>
                <w:sz w:val="28"/>
              </w:rPr>
              <w:t>бюджетных и автон</w:t>
            </w:r>
            <w:r>
              <w:rPr>
                <w:sz w:val="28"/>
              </w:rPr>
              <w:t>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r>
              <w:t>1 11 05025 10 0000 120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8"/>
              </w:rPr>
              <w:t>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3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r>
              <w:t>1 11 05030 00 0000 120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>
              <w:rPr>
                <w:sz w:val="28"/>
              </w:rPr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r>
              <w:t>1 11 05035 10 0000 120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</w:t>
            </w:r>
            <w:r>
              <w:rPr>
                <w:sz w:val="28"/>
              </w:rPr>
              <w:t xml:space="preserve">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105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r>
              <w:t>1 11 05070 00 0000 120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8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r>
              <w:t>1</w:t>
            </w:r>
            <w:r>
              <w:t xml:space="preserve"> 11 05075 10 0000 120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639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r>
              <w:t>1 13 00000 00 0000 000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341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r>
              <w:t>1 13 02000 00</w:t>
            </w:r>
            <w:r>
              <w:t xml:space="preserve">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r>
              <w:t>1 13 02995 10 0000 130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бюджетов сельских </w:t>
            </w:r>
            <w:r>
              <w:rPr>
                <w:sz w:val="28"/>
              </w:rPr>
              <w:t>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r>
              <w:t>1 16 00000 00 0000 000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ШТРАФЫ, </w:t>
            </w:r>
            <w:r>
              <w:rPr>
                <w:sz w:val="28"/>
              </w:rPr>
              <w:t>САНКЦИИ, ВОЗМЕЩЕНИЕ УЩЕРБА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74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r>
              <w:t>1 16 02000 02 0000 140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48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r>
              <w:t>1 16 02020 02 0000 140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</w:t>
            </w:r>
            <w:r>
              <w:rPr>
                <w:sz w:val="28"/>
              </w:rPr>
              <w:t xml:space="preserve">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r>
              <w:t>2 00 00000 00 0000 000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r>
              <w:t>2 02 00000 00 0000 000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8 511,6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7 967,8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543,8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</w:t>
            </w:r>
            <w:r>
              <w:rPr>
                <w:sz w:val="28"/>
              </w:rPr>
              <w:t>бюджетам бюджетной системы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</w:t>
            </w:r>
            <w:r>
              <w:rPr>
                <w:sz w:val="28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sz w:val="28"/>
              </w:rPr>
              <w:t>где отсутствуют военные комиссариаты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r>
              <w:t>2 02 35118 10 0000 150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r>
              <w:t>2 02 40000 00 0000 150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51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r>
              <w:t>2 02 49999 00 0000 150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r>
              <w:t>2 02 49999 10 0000 150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</w:tbl>
    <w:p w14:paraId="FA000000">
      <w:pPr>
        <w:sectPr>
          <w:footerReference r:id="rId1" w:type="default"/>
          <w:pgSz w:h="16848" w:orient="portrait" w:w="11908"/>
          <w:pgMar w:bottom="794" w:footer="709" w:gutter="0" w:header="709" w:left="1531" w:right="850" w:top="1020"/>
        </w:sectPr>
      </w:pPr>
    </w:p>
    <w:tbl>
      <w:tblPr>
        <w:tblStyle w:val="Style_3"/>
        <w:tblLayout w:type="fixed"/>
      </w:tblPr>
      <w:tblGrid>
        <w:gridCol w:w="4082"/>
        <w:gridCol w:w="5726"/>
      </w:tblGrid>
      <w:tr>
        <w:trPr>
          <w:trHeight w:hRule="atLeast" w:val="810"/>
        </w:trPr>
        <w:tc>
          <w:tcPr>
            <w:tcW w:type="dxa" w:w="4082"/>
            <w:shd w:fill="auto" w:val="clear"/>
          </w:tcPr>
          <w:p w14:paraId="FB000000">
            <w:pPr>
              <w:rPr>
                <w:sz w:val="28"/>
              </w:rPr>
            </w:pPr>
          </w:p>
        </w:tc>
        <w:tc>
          <w:tcPr>
            <w:tcW w:type="dxa" w:w="5726"/>
            <w:shd w:fill="auto" w:val="clear"/>
          </w:tcPr>
          <w:p w14:paraId="FC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  <w:p w14:paraId="FD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F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  <w:p w14:paraId="F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28.04.2023 № 80 </w:t>
            </w:r>
          </w:p>
        </w:tc>
      </w:tr>
    </w:tbl>
    <w:p w14:paraId="00010000">
      <w:pPr>
        <w:rPr>
          <w:sz w:val="28"/>
        </w:rPr>
      </w:pPr>
    </w:p>
    <w:p w14:paraId="01010000">
      <w:pPr>
        <w:ind/>
        <w:jc w:val="center"/>
        <w:rPr>
          <w:sz w:val="28"/>
        </w:rPr>
      </w:pPr>
      <w:r>
        <w:rPr>
          <w:sz w:val="28"/>
        </w:rPr>
        <w:t>Расходы бюджета Кринично-Лугского сельского поселения Куйбышевского района по ведомственной структурой расходов бюджета за 2022 год</w:t>
      </w:r>
      <w:r>
        <w:rPr>
          <w:b w:val="1"/>
          <w:sz w:val="28"/>
        </w:rPr>
        <w:t xml:space="preserve"> </w:t>
      </w:r>
    </w:p>
    <w:p w14:paraId="0201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Style w:val="Style_3"/>
        <w:tblInd w:type="dxa" w:w="73"/>
        <w:tblLayout w:type="fixed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>
        <w:trPr>
          <w:trHeight w:hRule="atLeast" w:val="270"/>
        </w:trPr>
        <w:tc>
          <w:tcPr>
            <w:tcW w:type="dxa" w:w="5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Код главы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Кассовое исполнение</w:t>
            </w:r>
          </w:p>
          <w:p w14:paraId="0A01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5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</w:p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7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10000">
            <w:r>
              <w:t>ИТОГО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</w:pPr>
            <w:r>
              <w:t>24 074,1</w:t>
            </w:r>
          </w:p>
        </w:tc>
      </w:tr>
      <w:tr>
        <w:trPr>
          <w:trHeight w:hRule="atLeast" w:val="49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r>
              <w:t>Администрация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23 888,7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10000"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</w:pPr>
            <w:r>
              <w:t>9 624,2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местных администраций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9 269,0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35,9</w:t>
            </w:r>
          </w:p>
        </w:tc>
      </w:tr>
      <w:tr>
        <w:trPr>
          <w:trHeight w:hRule="atLeast" w:val="55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</w:t>
            </w:r>
            <w:r>
              <w:t>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</w:pPr>
            <w:r>
              <w:t>7 692,0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1 486,0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 xml:space="preserve">муниципальной </w:t>
            </w:r>
            <w:r>
              <w:t>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17,7</w:t>
            </w:r>
          </w:p>
        </w:tc>
      </w:tr>
      <w:tr>
        <w:trPr>
          <w:trHeight w:hRule="atLeast" w:val="1098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9</w:t>
            </w:r>
            <w:r>
              <w:t>51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</w:t>
            </w:r>
            <w:r>
              <w:t>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10000">
            <w:r>
              <w:t>Другие 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</w:pPr>
            <w:r>
              <w:t>355,2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</w:t>
            </w:r>
            <w:r>
              <w:t>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"Доступная среда" (Иные закупки товаров, работ и услуг для обеспечения государственных (муниципальных) ну</w:t>
            </w:r>
            <w:r>
              <w:t>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1,9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10000">
            <w:r>
              <w:t xml:space="preserve">Создание и развитие </w:t>
            </w:r>
            <w:r>
              <w:t xml:space="preserve">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t>223,6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E010000">
            <w:r>
              <w:t>Реализация направления расходов в рамках подпрограммы «Обеспечение реализации муниципальной программы 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3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r>
              <w:t xml:space="preserve"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 поселения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</w:t>
            </w:r>
            <w:r>
              <w:t xml:space="preserve">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t>74,3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r>
              <w:t>Реализация направления расходов в рамках непрограммных расходов органа местного самоуправления Кринично-Лугского</w:t>
            </w:r>
            <w:r>
              <w:t xml:space="preserve">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</w:pPr>
            <w:r>
              <w:t>19,4</w:t>
            </w:r>
          </w:p>
        </w:tc>
      </w:tr>
      <w:tr>
        <w:trPr>
          <w:trHeight w:hRule="atLeast" w:val="3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1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 сельского поселения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10000">
            <w:r>
              <w:t>НАЦИОНАЛЬНАЯ ОБОРОНА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highlight w:val="yellow"/>
              </w:rPr>
            </w:pPr>
            <w:r>
              <w:t>255,4</w:t>
            </w:r>
          </w:p>
        </w:tc>
      </w:tr>
      <w:tr>
        <w:trPr>
          <w:trHeight w:hRule="atLeast" w:val="18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10000">
            <w:r>
              <w:t>Мобилизационная и вневойсковая подготовка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t>255,4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10000">
            <w:r>
              <w:rPr>
                <w:sz w:val="22"/>
              </w:rPr>
              <w:t xml:space="preserve">Субвенция на осуществление первичного </w:t>
            </w:r>
            <w:r>
              <w:rPr>
                <w:sz w:val="22"/>
              </w:rPr>
              <w:t>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(Расходы на выплат</w:t>
            </w:r>
            <w:r>
              <w:rPr>
                <w:sz w:val="22"/>
              </w:rPr>
              <w:t>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</w:pPr>
            <w:r>
              <w:t>249,5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10000"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rPr>
                <w:sz w:val="22"/>
              </w:rPr>
              <w:t>мероприятиям в</w:t>
            </w:r>
            <w:r>
              <w:rPr>
                <w:sz w:val="22"/>
              </w:rPr>
              <w:t xml:space="preserve">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10000">
            <w:pPr>
              <w:ind/>
              <w:jc w:val="center"/>
            </w:pPr>
            <w:r>
              <w:t xml:space="preserve">240 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46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1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70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10000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5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B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</w:t>
            </w:r>
            <w:r>
              <w:t>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r>
              <w:t>Национальная экономика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1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</w:t>
            </w:r>
            <w:r>
              <w:t>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r>
              <w:t>Жилищно-коммунальное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t>2 110,2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r>
              <w:t>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r>
              <w:t>Содержание и ремонт газового хозяйства в рамках подпрограммы «Создание условий для обеспечение</w:t>
            </w:r>
            <w:r>
              <w:t xml:space="preserve">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r>
              <w:t>Благоустройство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2 104,2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both"/>
              <w:outlineLvl w:val="4"/>
              <w:rPr>
                <w:highlight w:val="magenta"/>
              </w:rPr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</w:t>
            </w:r>
            <w:r>
              <w:t xml:space="preserve">муниципальной программы </w:t>
            </w:r>
            <w:r>
              <w:t>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t>357,3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1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</w:t>
            </w:r>
            <w:r>
              <w:rPr>
                <w:rFonts w:ascii="Times New Roman" w:hAnsi="Times New Roman"/>
              </w:rP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</w:t>
            </w:r>
            <w:r>
              <w:rPr>
                <w:rFonts w:ascii="Times New Roman" w:hAnsi="Times New Roman"/>
              </w:rPr>
              <w:t>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181,5</w:t>
            </w:r>
          </w:p>
        </w:tc>
      </w:tr>
      <w:tr>
        <w:trPr>
          <w:trHeight w:hRule="atLeast" w:val="36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</w:t>
            </w:r>
            <w:r>
              <w:t>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104,4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r>
              <w:t>Расходы на реализацию мероприятий по ремонту, содержанию и оплата за эле</w:t>
            </w:r>
            <w:r>
              <w:t>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</w:t>
            </w:r>
            <w:r>
              <w:t>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1 300,0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r>
              <w:t xml:space="preserve">Мероприятия по замене ламп накаливания и других неэффективных </w:t>
            </w:r>
            <w:r>
              <w:t xml:space="preserve">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rPr>
                <w:highlight w:val="yellow"/>
              </w:rPr>
            </w:pPr>
            <w:r>
              <w:t xml:space="preserve">Иные межбюджетные трансферты за счет </w:t>
            </w:r>
            <w:r>
              <w:t xml:space="preserve">средств резервного фонда Правительства Ростовской области в рамках непрограммного направления деятельности "Реализация </w:t>
            </w:r>
            <w:r>
              <w:t>функций иных государственных органов Ростовской области"(Иные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 xml:space="preserve">99 1 00 </w:t>
            </w:r>
            <w:r>
              <w:t>71180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150,0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r>
              <w:t xml:space="preserve">Иные межбюджетные трансферты передаваемые другим бюджетам бюджетной </w:t>
            </w:r>
            <w:r>
              <w:t>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r>
              <w:t>Охрана окружающей среды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r>
              <w:t>Сбор, удаление отходов и очистка сточных вод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r>
              <w:t>Комплексные услуги по обращению с ртутьсодержащими отходами в рамках подпрограммы «Охрана окружающей среды в 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r>
              <w:t>ОБРАЗОВАНИЕ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0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Кринично-Лугского сельского поселения «Муницип</w:t>
            </w:r>
            <w:r>
              <w:t>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20000">
            <w:r>
              <w:t>КУЛЬТУРА И КИНЕМАТОГРАФИЯ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r>
              <w:t>Культура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64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20000">
            <w:r>
              <w:rPr>
                <w:sz w:val="22"/>
              </w:rP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rPr>
                <w:sz w:val="22"/>
              </w:rPr>
              <w:t>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20000">
            <w:r>
              <w:t>СОЦИАЛЬНАЯ ПОЛИТИКА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20000">
            <w:r>
              <w:t>Пенсионное обеспечение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2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r>
              <w:t>ФИЗИЧЕСКАЯ КУЛЬТУРА И СПОРТ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r>
              <w:t>Другие вопросы в области физической культуры и спорта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r>
              <w:t xml:space="preserve">Расходы на физическое воспитание,  </w:t>
            </w:r>
            <w:r>
              <w:t>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Кринично-Лугского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</w:t>
            </w:r>
            <w:r>
              <w:rPr>
                <w:sz w:val="22"/>
              </w:rPr>
              <w:t>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both"/>
            </w:pPr>
            <w:r>
              <w:t>Собрание депутатов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4020000">
            <w:r>
              <w:t xml:space="preserve">Функционирование законодательных </w:t>
            </w:r>
            <w:r>
              <w:t xml:space="preserve">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Кринично-Лугского</w:t>
            </w:r>
            <w:r>
              <w:t xml:space="preserve">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t>178,5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both"/>
            </w:pPr>
            <w:r>
              <w:t>Расходы на 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t>6,9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r>
              <w:t>всего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24 074,1</w:t>
            </w:r>
          </w:p>
        </w:tc>
      </w:tr>
    </w:tbl>
    <w:p w14:paraId="B0020000">
      <w:pPr>
        <w:tabs>
          <w:tab w:leader="none" w:pos="1185" w:val="left"/>
        </w:tabs>
        <w:ind/>
        <w:rPr>
          <w:sz w:val="28"/>
        </w:rPr>
      </w:pPr>
    </w:p>
    <w:p w14:paraId="B1020000">
      <w:pPr>
        <w:tabs>
          <w:tab w:leader="none" w:pos="1185" w:val="left"/>
        </w:tabs>
        <w:ind/>
        <w:rPr>
          <w:sz w:val="28"/>
        </w:rPr>
      </w:pPr>
    </w:p>
    <w:p w14:paraId="B2020000">
      <w:pPr>
        <w:tabs>
          <w:tab w:leader="none" w:pos="1185" w:val="left"/>
        </w:tabs>
        <w:ind/>
        <w:rPr>
          <w:sz w:val="28"/>
        </w:rPr>
      </w:pPr>
    </w:p>
    <w:p w14:paraId="B3020000">
      <w:pPr>
        <w:tabs>
          <w:tab w:leader="none" w:pos="1185" w:val="left"/>
        </w:tabs>
        <w:ind/>
        <w:rPr>
          <w:sz w:val="28"/>
        </w:rPr>
      </w:pPr>
    </w:p>
    <w:p w14:paraId="B4020000">
      <w:pPr>
        <w:tabs>
          <w:tab w:leader="none" w:pos="1185" w:val="left"/>
        </w:tabs>
        <w:ind/>
        <w:rPr>
          <w:sz w:val="28"/>
        </w:rPr>
      </w:pPr>
    </w:p>
    <w:p w14:paraId="B5020000">
      <w:pPr>
        <w:rPr>
          <w:sz w:val="28"/>
        </w:rPr>
      </w:pPr>
    </w:p>
    <w:p w14:paraId="B6020000">
      <w:pPr>
        <w:rPr>
          <w:sz w:val="28"/>
        </w:rPr>
      </w:pPr>
    </w:p>
    <w:p w14:paraId="B7020000">
      <w:pPr>
        <w:rPr>
          <w:sz w:val="28"/>
        </w:rPr>
      </w:pPr>
    </w:p>
    <w:p w14:paraId="B8020000">
      <w:pPr>
        <w:rPr>
          <w:sz w:val="28"/>
        </w:rPr>
      </w:pPr>
    </w:p>
    <w:p w14:paraId="B9020000">
      <w:pPr>
        <w:rPr>
          <w:sz w:val="28"/>
        </w:rPr>
      </w:pPr>
    </w:p>
    <w:p w14:paraId="BA020000">
      <w:pPr>
        <w:rPr>
          <w:sz w:val="28"/>
        </w:rPr>
      </w:pPr>
    </w:p>
    <w:p w14:paraId="BB020000">
      <w:pPr>
        <w:rPr>
          <w:sz w:val="28"/>
        </w:rPr>
      </w:pPr>
    </w:p>
    <w:p w14:paraId="BC020000">
      <w:pPr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4395"/>
        <w:gridCol w:w="5244"/>
      </w:tblGrid>
      <w:tr>
        <w:trPr>
          <w:trHeight w:hRule="atLeast" w:val="810"/>
        </w:trPr>
        <w:tc>
          <w:tcPr>
            <w:tcW w:type="dxa" w:w="4395"/>
            <w:shd w:fill="auto" w:val="clear"/>
          </w:tcPr>
          <w:p w14:paraId="BD020000">
            <w:pPr>
              <w:rPr>
                <w:sz w:val="28"/>
              </w:rPr>
            </w:pPr>
          </w:p>
        </w:tc>
        <w:tc>
          <w:tcPr>
            <w:tcW w:type="dxa" w:w="5244"/>
            <w:shd w:fill="auto" w:val="clear"/>
          </w:tcPr>
          <w:p w14:paraId="BE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14:paraId="BF020000">
            <w:pPr>
              <w:widowControl w:val="0"/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к решению Собрания депутатов  </w:t>
            </w:r>
          </w:p>
          <w:p w14:paraId="C0020000">
            <w:pPr>
              <w:ind/>
              <w:jc w:val="right"/>
              <w:rPr>
                <w:sz w:val="28"/>
              </w:rPr>
            </w:pPr>
            <w:r>
              <w:rPr>
                <w:sz w:val="26"/>
              </w:rPr>
              <w:t>Кринично-Лугского сельского поселения</w:t>
            </w:r>
          </w:p>
          <w:p w14:paraId="C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28.04.2023 № 80 </w:t>
            </w:r>
          </w:p>
        </w:tc>
      </w:tr>
    </w:tbl>
    <w:p w14:paraId="C2020000">
      <w:pPr>
        <w:rPr>
          <w:sz w:val="28"/>
        </w:rPr>
      </w:pPr>
    </w:p>
    <w:p w14:paraId="C3020000">
      <w:pPr>
        <w:ind/>
        <w:jc w:val="center"/>
        <w:rPr>
          <w:sz w:val="26"/>
        </w:rPr>
      </w:pPr>
      <w:r>
        <w:rPr>
          <w:sz w:val="26"/>
        </w:rPr>
        <w:t>Расходы бюджета Кринично-Лугского</w:t>
      </w:r>
      <w:r>
        <w:rPr>
          <w:sz w:val="26"/>
        </w:rPr>
        <w:t xml:space="preserve"> сельского поселения по разделам и подразделам классификации расходов бюджетов Российской Федерации за 2022 год</w:t>
      </w:r>
    </w:p>
    <w:p w14:paraId="C4020000">
      <w:pPr>
        <w:ind/>
        <w:jc w:val="center"/>
        <w:rPr>
          <w:sz w:val="28"/>
        </w:rPr>
      </w:pPr>
      <w:r>
        <w:rPr>
          <w:sz w:val="28"/>
        </w:rPr>
        <w:t xml:space="preserve">      </w:t>
      </w:r>
    </w:p>
    <w:p w14:paraId="C5020000">
      <w:pPr>
        <w:tabs>
          <w:tab w:leader="none" w:pos="7785" w:val="left"/>
        </w:tabs>
        <w:ind/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8"/>
        <w:gridCol w:w="537"/>
        <w:gridCol w:w="699"/>
        <w:gridCol w:w="1571"/>
      </w:tblGrid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center"/>
            </w:pPr>
            <w:r>
              <w:t>Наименование</w:t>
            </w:r>
          </w:p>
          <w:p w14:paraId="C7020000"/>
          <w:p w14:paraId="C8020000"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t>Рз.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</w:pPr>
            <w:r>
              <w:t>Пр.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center"/>
            </w:pPr>
            <w:r>
              <w:t>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</w:pPr>
            <w:r>
              <w:t>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r>
              <w:t>ИТОГО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center"/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ind/>
              <w:jc w:val="right"/>
            </w:pPr>
            <w:r>
              <w:t>24 074,1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r>
              <w:t>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right"/>
            </w:pPr>
            <w:r>
              <w:t>9 809,6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right"/>
            </w:pPr>
            <w:r>
              <w:t>185,4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r>
              <w:t>Функционирование Правительства Российской Федерации высших исполнительных органов государственной  власти с</w:t>
            </w:r>
            <w:r>
              <w:t>убъектов Российской Федерации, местных администраций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r>
              <w:t>04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right"/>
            </w:pPr>
            <w:r>
              <w:t>9 269,0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r>
              <w:t>Другие 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r>
              <w:t>13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right"/>
            </w:pPr>
            <w:r>
              <w:t>355,2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r>
              <w:t>НАЦИОНАЛЬНАЯ  ОБОРОНА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r>
              <w:t>Мобилизационная и вневойсковая подготовка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r>
              <w:t>10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r>
              <w:t>НАЦИОНАЛЬНАЯ ЭКОНОМИКА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r>
              <w:t>12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keepNext w:val="1"/>
              <w:keepLines w:val="1"/>
              <w:ind/>
              <w:outlineLvl w:val="0"/>
            </w:pPr>
            <w:r>
              <w:t>ЖИЛИЩНО-КОММУНАЛЬНОЕ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right"/>
            </w:pPr>
            <w:r>
              <w:t>2 110,2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keepNext w:val="1"/>
              <w:keepLines w:val="1"/>
              <w:ind/>
              <w:outlineLvl w:val="0"/>
            </w:pPr>
            <w:r>
              <w:t>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right"/>
            </w:pPr>
            <w:r>
              <w:t>6,0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r>
              <w:t>Благоустройство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right"/>
            </w:pPr>
            <w:r>
              <w:t>2 104,2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r>
              <w:t>Охрана окружающей среды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r>
              <w:t>Сбор, удаление отходов и очистка сточных вод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r>
              <w:t>ОБРАЗОВАНИЕ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>КУЛЬТУРА, КИНЕМАТОГРАФИЯ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right"/>
            </w:pPr>
            <w:r>
              <w:t>11 659,6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Культура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right"/>
            </w:pPr>
            <w:r>
              <w:t>11 659,6</w:t>
            </w:r>
          </w:p>
        </w:tc>
      </w:tr>
      <w:tr>
        <w:trPr>
          <w:trHeight w:hRule="atLeast" w:val="220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СОЦИАЛЬНАЯ ПОЛИТИКА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ind/>
              <w:jc w:val="right"/>
            </w:pPr>
            <w:r>
              <w:t>154,0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Пенсионное обеспечение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right"/>
            </w:pPr>
            <w:r>
              <w:t>154,0</w:t>
            </w:r>
          </w:p>
        </w:tc>
      </w:tr>
      <w:tr>
        <w:trPr>
          <w:trHeight w:hRule="atLeast" w:val="329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ind/>
              <w:jc w:val="right"/>
            </w:pPr>
            <w:r>
              <w:t>9,4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right"/>
            </w:pPr>
            <w:r>
              <w:t>9,4</w:t>
            </w:r>
          </w:p>
        </w:tc>
      </w:tr>
    </w:tbl>
    <w:p w14:paraId="30030000">
      <w:pPr>
        <w:rPr>
          <w:sz w:val="28"/>
        </w:rPr>
      </w:pPr>
    </w:p>
    <w:p w14:paraId="31030000">
      <w:pPr>
        <w:rPr>
          <w:sz w:val="28"/>
        </w:rPr>
      </w:pPr>
    </w:p>
    <w:p w14:paraId="32030000">
      <w:pPr>
        <w:rPr>
          <w:sz w:val="28"/>
        </w:rPr>
      </w:pPr>
    </w:p>
    <w:p w14:paraId="33030000">
      <w:pPr>
        <w:rPr>
          <w:sz w:val="28"/>
        </w:rPr>
      </w:pPr>
    </w:p>
    <w:p w14:paraId="34030000">
      <w:pPr>
        <w:rPr>
          <w:sz w:val="28"/>
        </w:rPr>
      </w:pPr>
    </w:p>
    <w:tbl>
      <w:tblPr>
        <w:tblStyle w:val="Style_3"/>
        <w:tblInd w:type="dxa" w:w="392"/>
        <w:tblLayout w:type="fixed"/>
      </w:tblPr>
      <w:tblGrid>
        <w:gridCol w:w="4210"/>
        <w:gridCol w:w="5206"/>
      </w:tblGrid>
      <w:tr>
        <w:trPr>
          <w:trHeight w:hRule="atLeast" w:val="810"/>
        </w:trPr>
        <w:tc>
          <w:tcPr>
            <w:tcW w:type="dxa" w:w="4210"/>
            <w:shd w:fill="auto" w:val="clear"/>
          </w:tcPr>
          <w:p w14:paraId="35030000">
            <w:pPr>
              <w:rPr>
                <w:sz w:val="28"/>
              </w:rPr>
            </w:pPr>
          </w:p>
        </w:tc>
        <w:tc>
          <w:tcPr>
            <w:tcW w:type="dxa" w:w="5206"/>
            <w:shd w:fill="auto" w:val="clear"/>
          </w:tcPr>
          <w:p w14:paraId="36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4 </w:t>
            </w:r>
          </w:p>
          <w:p w14:paraId="3703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3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  <w:p w14:paraId="3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28.04.2023 № 80 </w:t>
            </w:r>
          </w:p>
        </w:tc>
      </w:tr>
    </w:tbl>
    <w:p w14:paraId="3A030000">
      <w:pPr>
        <w:ind/>
        <w:jc w:val="center"/>
        <w:rPr>
          <w:sz w:val="28"/>
        </w:rPr>
      </w:pPr>
    </w:p>
    <w:p w14:paraId="3B030000">
      <w:pPr>
        <w:spacing w:line="216" w:lineRule="auto"/>
        <w:ind/>
        <w:jc w:val="center"/>
        <w:rPr>
          <w:b w:val="1"/>
          <w:sz w:val="28"/>
        </w:rPr>
      </w:pPr>
      <w:r>
        <w:rPr>
          <w:sz w:val="28"/>
        </w:rPr>
        <w:t xml:space="preserve">Источники финансирования дефицита бюджета Кринично-Лугского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 за 2022 год</w:t>
      </w:r>
      <w:r>
        <w:rPr>
          <w:b w:val="1"/>
          <w:sz w:val="28"/>
        </w:rPr>
        <w:t xml:space="preserve"> </w:t>
      </w:r>
    </w:p>
    <w:p w14:paraId="3C030000">
      <w:pPr>
        <w:ind/>
        <w:jc w:val="center"/>
        <w:rPr>
          <w:sz w:val="28"/>
        </w:rPr>
      </w:pPr>
    </w:p>
    <w:tbl>
      <w:tblPr>
        <w:tblStyle w:val="Style_3"/>
        <w:tblInd w:type="dxa" w:w="288"/>
        <w:tblLayout w:type="fixed"/>
      </w:tblPr>
      <w:tblGrid>
        <w:gridCol w:w="3993"/>
        <w:gridCol w:w="4136"/>
        <w:gridCol w:w="1391"/>
      </w:tblGrid>
      <w:tr>
        <w:trPr>
          <w:trHeight w:hRule="atLeast" w:val="375"/>
        </w:trPr>
        <w:tc>
          <w:tcPr>
            <w:tcW w:type="dxa" w:w="9520"/>
            <w:gridSpan w:val="3"/>
            <w:shd w:fill="auto" w:val="clear"/>
            <w:vAlign w:val="bottom"/>
          </w:tcPr>
          <w:p w14:paraId="3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БЮДЖЕТОВ, ВСЕГО  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652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951 01  00  00  00  00  0000  000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</w:t>
            </w:r>
            <w:r>
              <w:rPr>
                <w:sz w:val="28"/>
              </w:rPr>
              <w:t>финансирования дефицитов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951 01  05  00  00  00  0000  500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951 01  05  02  00  00  0000  </w:t>
            </w:r>
            <w:r>
              <w:rPr>
                <w:sz w:val="28"/>
              </w:rPr>
              <w:t>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both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54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951 01  05  02  01  00  0000  510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both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951 01  05  02  01  10  0000  510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 бюджетов сельских </w:t>
            </w:r>
            <w:r>
              <w:rPr>
                <w:sz w:val="28"/>
              </w:rPr>
              <w:t>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both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951 01  05  00  00  00  0000  600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951 01  05  02  00  00  0000  600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both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951 01  05  02  01  00  0000  610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</w:t>
            </w:r>
            <w:r>
              <w:rPr>
                <w:sz w:val="28"/>
              </w:rPr>
              <w:t>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both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951 01  05  02  01  10  0000  610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both"/>
            </w:pPr>
            <w:r>
              <w:rPr>
                <w:sz w:val="28"/>
              </w:rPr>
              <w:t>24 239,9</w:t>
            </w:r>
          </w:p>
        </w:tc>
      </w:tr>
    </w:tbl>
    <w:p w14:paraId="62030000">
      <w:pPr>
        <w:sectPr>
          <w:footerReference r:id="rId2" w:type="default"/>
          <w:pgSz w:h="16848" w:orient="portrait" w:w="11908"/>
          <w:pgMar w:bottom="794" w:footer="709" w:gutter="0" w:header="709" w:left="1531" w:right="850" w:top="1020"/>
        </w:sectPr>
      </w:pPr>
    </w:p>
    <w:p w14:paraId="63030000">
      <w:pPr>
        <w:ind/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14:paraId="64030000">
      <w:pPr>
        <w:ind/>
        <w:jc w:val="center"/>
        <w:rPr>
          <w:sz w:val="28"/>
        </w:rPr>
      </w:pPr>
      <w:r>
        <w:rPr>
          <w:sz w:val="28"/>
        </w:rPr>
        <w:t xml:space="preserve">к  решению от 28.04.2023 № 80 «Об утверждении отчета исполнения бюджета Кринично-Лугского сельского поселения Куйбышевского района за 2022 год» </w:t>
      </w:r>
    </w:p>
    <w:p w14:paraId="65030000">
      <w:pPr>
        <w:pStyle w:val="Style_5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Отчет об исполнении бюджета Кринично-Лугского сельского поселения Куйбышевского района за 2022 год п</w:t>
      </w:r>
      <w:r>
        <w:rPr>
          <w:rFonts w:ascii="Times New Roman" w:hAnsi="Times New Roman"/>
          <w:b w:val="0"/>
          <w:sz w:val="28"/>
        </w:rPr>
        <w:t>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</w:t>
      </w:r>
      <w:r>
        <w:rPr>
          <w:rFonts w:ascii="Times New Roman" w:hAnsi="Times New Roman"/>
          <w:b w:val="0"/>
          <w:sz w:val="28"/>
        </w:rPr>
        <w:t>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66030000">
      <w:pPr>
        <w:ind w:firstLine="709" w:left="0"/>
        <w:jc w:val="both"/>
        <w:rPr>
          <w:sz w:val="28"/>
        </w:rPr>
      </w:pPr>
      <w:r>
        <w:rPr>
          <w:sz w:val="28"/>
        </w:rPr>
        <w:t>Одновременно с годовым отчетом об исполнении бюджета Кринично-Лугского сельског</w:t>
      </w:r>
      <w:r>
        <w:rPr>
          <w:sz w:val="28"/>
        </w:rPr>
        <w:t>о поселения предоставляются:</w:t>
      </w:r>
    </w:p>
    <w:p w14:paraId="67030000">
      <w:pPr>
        <w:ind w:firstLine="709" w:left="0"/>
        <w:jc w:val="both"/>
        <w:rPr>
          <w:sz w:val="28"/>
        </w:rPr>
      </w:pPr>
      <w:r>
        <w:rPr>
          <w:sz w:val="28"/>
        </w:rPr>
        <w:t>1) проект решения об исполнении бюджета Кринично-Лугского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 2022 год;</w:t>
      </w:r>
    </w:p>
    <w:p w14:paraId="68030000">
      <w:pPr>
        <w:ind w:firstLine="709" w:left="0"/>
        <w:jc w:val="both"/>
        <w:rPr>
          <w:sz w:val="28"/>
        </w:rPr>
      </w:pPr>
      <w:r>
        <w:rPr>
          <w:sz w:val="28"/>
        </w:rPr>
        <w:t>2) пояснительная записка к проекту исполнения бюджета Кринично-Лугского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2022 год;</w:t>
      </w:r>
    </w:p>
    <w:p w14:paraId="69030000">
      <w:pPr>
        <w:ind w:firstLine="709" w:left="0"/>
        <w:jc w:val="both"/>
        <w:rPr>
          <w:sz w:val="28"/>
        </w:rPr>
      </w:pPr>
      <w:r>
        <w:rPr>
          <w:sz w:val="28"/>
        </w:rPr>
        <w:t>3) информация об итогах социально-экономического развития Кринично-Лугского сельского поселения за 2022 год с учетом прогноза социально-экономического развития Кринично-Лугского сельского поселения;</w:t>
      </w:r>
    </w:p>
    <w:p w14:paraId="6A030000">
      <w:pPr>
        <w:ind w:firstLine="709" w:left="0"/>
        <w:jc w:val="both"/>
        <w:rPr>
          <w:sz w:val="28"/>
        </w:rPr>
      </w:pPr>
      <w:r>
        <w:rPr>
          <w:sz w:val="28"/>
        </w:rPr>
        <w:t>4)  сводный годовой доклад о ходе реализации и</w:t>
      </w:r>
      <w:r>
        <w:rPr>
          <w:sz w:val="28"/>
        </w:rPr>
        <w:t xml:space="preserve"> об оценке эффективности муниципальных программ Кринично-Лугского сельского поселения;</w:t>
      </w:r>
    </w:p>
    <w:p w14:paraId="6B030000">
      <w:pPr>
        <w:ind w:firstLine="709" w:left="0"/>
        <w:jc w:val="both"/>
        <w:rPr>
          <w:sz w:val="28"/>
        </w:rPr>
      </w:pPr>
      <w:r>
        <w:rPr>
          <w:sz w:val="28"/>
        </w:rPr>
        <w:t>5) заключение Контрольно-счетной палаты Ростовской области по результатам внешней проверки.</w:t>
      </w:r>
    </w:p>
    <w:p w14:paraId="6C030000">
      <w:pPr>
        <w:pStyle w:val="Style_5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решения  «Об утверждении отчета исполнения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 Куйбышевского района за 2022 год» составлен в соответствии с требованиями Бюджетного кодекса Российской Федерации и включает следующие данные:</w:t>
      </w:r>
    </w:p>
    <w:p w14:paraId="6D03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>- доходы бюджета Кринично-Лугского сельского поселения Куйбышевского района по кодам классиф</w:t>
      </w:r>
      <w:r>
        <w:rPr>
          <w:sz w:val="28"/>
        </w:rPr>
        <w:t>икации доходов бюджета за 2022 год;</w:t>
      </w:r>
    </w:p>
    <w:p w14:paraId="6E030000">
      <w:pPr>
        <w:ind w:firstLine="709" w:left="0"/>
        <w:jc w:val="both"/>
        <w:rPr>
          <w:sz w:val="28"/>
        </w:rPr>
      </w:pPr>
      <w:r>
        <w:rPr>
          <w:sz w:val="28"/>
        </w:rPr>
        <w:t>- расходы бюджета Кринично-Лугского сельского поселения Куйбышевского района по  ведомственной структурой расходов за 2022 год;</w:t>
      </w:r>
    </w:p>
    <w:p w14:paraId="6F030000">
      <w:pPr>
        <w:ind w:firstLine="709" w:left="0"/>
        <w:jc w:val="both"/>
        <w:rPr>
          <w:sz w:val="28"/>
        </w:rPr>
      </w:pPr>
      <w:r>
        <w:rPr>
          <w:sz w:val="28"/>
        </w:rPr>
        <w:t>- расходы  бюджета Кринично-Лугского сельского поселения по разделам и подразделам классифик</w:t>
      </w:r>
      <w:r>
        <w:rPr>
          <w:sz w:val="28"/>
        </w:rPr>
        <w:t>ации расходов бюджетов Российской Федерации за 2022 год;</w:t>
      </w:r>
    </w:p>
    <w:p w14:paraId="70030000">
      <w:pPr>
        <w:ind w:firstLine="709" w:left="0"/>
        <w:jc w:val="both"/>
        <w:rPr>
          <w:sz w:val="28"/>
        </w:rPr>
      </w:pPr>
      <w:r>
        <w:rPr>
          <w:sz w:val="28"/>
        </w:rPr>
        <w:t>- источники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 2022 год.</w:t>
      </w:r>
    </w:p>
    <w:p w14:paraId="71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Годовой отчет </w:t>
      </w:r>
      <w:r>
        <w:rPr>
          <w:sz w:val="28"/>
        </w:rPr>
        <w:t>об исполнении бюджета Кринично-Лугского сельского поселения за 2022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2022 год.</w:t>
      </w:r>
      <w:r>
        <w:rPr>
          <w:i w:val="1"/>
          <w:sz w:val="28"/>
        </w:rPr>
        <w:t xml:space="preserve"> </w:t>
      </w:r>
      <w:r>
        <w:rPr>
          <w:sz w:val="28"/>
        </w:rPr>
        <w:t>Годовая бухгалтерс</w:t>
      </w:r>
      <w:r>
        <w:rPr>
          <w:sz w:val="28"/>
        </w:rPr>
        <w:t xml:space="preserve">кая отчетность представлена в установленные сроки. В отчетности </w:t>
      </w:r>
      <w:r>
        <w:rPr>
          <w:sz w:val="28"/>
        </w:rPr>
        <w:t>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</w:t>
      </w:r>
      <w:r>
        <w:rPr>
          <w:sz w:val="28"/>
        </w:rPr>
        <w:t>ой, квартальной и месячной отчетности об исполнении бюджетов бюджетной системы Российской Федерации».</w:t>
      </w:r>
    </w:p>
    <w:p w14:paraId="7203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2022 году исполнение бюджета Кринично-Лугского сельского поселения организовано с 2 главными распорядителями средств бюджета, 3 главными администраторам</w:t>
      </w:r>
      <w:r>
        <w:rPr>
          <w:sz w:val="28"/>
        </w:rPr>
        <w:t>и доходов бюджета.</w:t>
      </w:r>
    </w:p>
    <w:p w14:paraId="7303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Исполнение бюджета Кринично-Лугского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</w:t>
      </w:r>
      <w:r>
        <w:rPr>
          <w:sz w:val="28"/>
        </w:rPr>
        <w:t>исле по объему долга и дефицита бюджета.</w:t>
      </w:r>
    </w:p>
    <w:p w14:paraId="74030000">
      <w:pPr>
        <w:ind w:firstLine="720" w:left="0"/>
        <w:jc w:val="both"/>
        <w:rPr>
          <w:sz w:val="28"/>
        </w:rPr>
      </w:pPr>
      <w:r>
        <w:rPr>
          <w:sz w:val="28"/>
        </w:rPr>
        <w:t>Исполнение бюджета Кринично-Лугского сельского поселения осуществлялось в соответствии с решением Собрания депутатов Кринично-Лугского сельского поселения от 27.12.2021 № 24 «О бюджете  Кринично-Лугского сельского п</w:t>
      </w:r>
      <w:r>
        <w:rPr>
          <w:sz w:val="28"/>
        </w:rPr>
        <w:t>оселения Куйбышевского района на 2022 год и плановый период 2023 и 2024 годов».</w:t>
      </w:r>
    </w:p>
    <w:p w14:paraId="75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период 2022 года подготовлено 7 изменений в решение Собрания депутатов Кринично-Лугского сельского поселения «О бюджете  Кринично-Лугского сельского поселения Куйбышевского </w:t>
      </w:r>
      <w:r>
        <w:rPr>
          <w:sz w:val="28"/>
        </w:rPr>
        <w:t>района на 2022 год и плановый период 2023 и 2024 годов».</w:t>
      </w:r>
    </w:p>
    <w:p w14:paraId="76030000">
      <w:pPr>
        <w:ind w:firstLine="709" w:left="0"/>
        <w:jc w:val="both"/>
        <w:rPr>
          <w:sz w:val="28"/>
        </w:rPr>
      </w:pPr>
      <w:r>
        <w:rPr>
          <w:sz w:val="28"/>
        </w:rPr>
        <w:t>Доходы бюджета поселения в течение 2022 года в целом от первоначального бюджета увеличены на 770,5 тыс. рублей, в том числе собственные доходы на 63,0 тыс. рублей, 543,8 тыс. рублей дотации на сбалан</w:t>
      </w:r>
      <w:r>
        <w:rPr>
          <w:sz w:val="28"/>
        </w:rPr>
        <w:t>сированность бюджета, 13,7 тыс. рублей субвенции на осуществление первичного воинского учета, 150,0 тыс</w:t>
      </w:r>
      <w:r>
        <w:rPr>
          <w:sz w:val="32"/>
        </w:rPr>
        <w:t xml:space="preserve">. рублей </w:t>
      </w:r>
      <w:r>
        <w:rPr>
          <w:sz w:val="28"/>
        </w:rPr>
        <w:t>средства резервного фонда Правительства Ростовской области</w:t>
      </w:r>
      <w:r>
        <w:rPr>
          <w:b w:val="1"/>
          <w:sz w:val="32"/>
        </w:rPr>
        <w:t xml:space="preserve"> </w:t>
      </w:r>
      <w:r>
        <w:rPr>
          <w:sz w:val="28"/>
        </w:rPr>
        <w:t>на приобретение уличных светильников ЭРА с кронштейном (40 штук) для последующей уста</w:t>
      </w:r>
      <w:r>
        <w:rPr>
          <w:sz w:val="28"/>
        </w:rPr>
        <w:t xml:space="preserve">новки по адресу: Ростовская область, Куйбышевский район, с. Миллерово, ул. Ярового, 30. </w:t>
      </w:r>
    </w:p>
    <w:p w14:paraId="7703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поселения увеличены на 2 054,1 тыс. рублей, в том числе за счет вовлечения остатков прошлых лет 1 283,6 тыс. рублей.</w:t>
      </w:r>
    </w:p>
    <w:p w14:paraId="78030000">
      <w:pPr>
        <w:pStyle w:val="Style_6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2022 году продолжена реализация </w:t>
      </w:r>
      <w:r>
        <w:rPr>
          <w:b w:val="0"/>
          <w:sz w:val="28"/>
        </w:rPr>
        <w:t>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 Кринично-Лугского сельского поселения до 2024 года, утвержденного распоряжением Администрации К</w:t>
      </w:r>
      <w:r>
        <w:rPr>
          <w:b w:val="0"/>
          <w:sz w:val="28"/>
        </w:rPr>
        <w:t>ринично-Лугского сельского поселения от 26.09.2018 № 177.  Обеспечено выполнение первоочередных мероприятий по обеспечению устойчивого развития экономики и социальной стабильности в Кринично-Лугском сельском поселении в 2022-2024 годах.</w:t>
      </w:r>
    </w:p>
    <w:p w14:paraId="79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Продолжена реализац</w:t>
      </w:r>
      <w:r>
        <w:rPr>
          <w:sz w:val="28"/>
        </w:rPr>
        <w:t>ия бюджетного прогноза Кринично-Лугского сельского поселения на период 2017-2028 годов согласно постановления Администрации Кринично-Лугского сельского поселения от 17.02.2017 № 33. В сентябре 2022 года продолжит реализацию бюджетный прогноз Кринично-Лугск</w:t>
      </w:r>
      <w:r>
        <w:rPr>
          <w:sz w:val="28"/>
        </w:rPr>
        <w:t>ого сельского поселения на период 2023-2036 годов.</w:t>
      </w:r>
    </w:p>
    <w:p w14:paraId="7A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</w:t>
      </w:r>
      <w:r>
        <w:rPr>
          <w:sz w:val="28"/>
        </w:rPr>
        <w:t>без исключения главные распорядители бюджетных средств.</w:t>
      </w:r>
    </w:p>
    <w:p w14:paraId="7B030000">
      <w:pPr>
        <w:ind w:firstLine="900" w:left="0"/>
        <w:jc w:val="center"/>
        <w:rPr>
          <w:sz w:val="28"/>
        </w:rPr>
      </w:pPr>
    </w:p>
    <w:p w14:paraId="7C030000">
      <w:pPr>
        <w:ind w:firstLine="900" w:left="0"/>
        <w:jc w:val="center"/>
        <w:rPr>
          <w:sz w:val="28"/>
        </w:rPr>
      </w:pPr>
      <w:r>
        <w:rPr>
          <w:sz w:val="28"/>
        </w:rPr>
        <w:t>Доходная часть бюджета</w:t>
      </w:r>
    </w:p>
    <w:p w14:paraId="7D030000">
      <w:pPr>
        <w:ind w:firstLine="900" w:left="0"/>
        <w:jc w:val="center"/>
        <w:rPr>
          <w:sz w:val="28"/>
        </w:rPr>
      </w:pPr>
    </w:p>
    <w:p w14:paraId="7E030000">
      <w:pPr>
        <w:ind w:firstLine="900" w:left="0"/>
        <w:jc w:val="both"/>
        <w:rPr>
          <w:sz w:val="28"/>
        </w:rPr>
      </w:pPr>
      <w:r>
        <w:rPr>
          <w:sz w:val="28"/>
        </w:rPr>
        <w:t>По состоянию на 01.01.2023 года  доходы  бюджета Кринично-Лугского сельского поселения (далее поселения) - всего поступили в сумме 23 689,3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тыс. рублей, план года исполнен 100,3 %, в сравнении с фактом поступления 2021 года меньше на 25,6 %. </w:t>
      </w:r>
    </w:p>
    <w:p w14:paraId="7F030000">
      <w:pPr>
        <w:ind w:firstLine="900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поступили в сумме 14 772,1 тыс. рублей, план года исполнен на 100,5 %. В сравнении с фактом 2021 года по</w:t>
      </w:r>
      <w:r>
        <w:rPr>
          <w:sz w:val="28"/>
        </w:rPr>
        <w:t>ступления 2022 года меньше на 11,8 %.</w:t>
      </w:r>
    </w:p>
    <w:p w14:paraId="80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81030000">
      <w:pPr>
        <w:ind w:firstLine="900" w:left="0"/>
        <w:jc w:val="both"/>
        <w:rPr>
          <w:sz w:val="28"/>
        </w:rPr>
      </w:pPr>
      <w:r>
        <w:rPr>
          <w:sz w:val="28"/>
        </w:rPr>
        <w:t>1. Проведено 5 заседания Координационного совета по сбору налогов, на которые было приглашено 84 физическое лицо, п</w:t>
      </w:r>
      <w:r>
        <w:rPr>
          <w:sz w:val="28"/>
        </w:rPr>
        <w:t xml:space="preserve">рисутствовало 84 человека,    погашена недоимка в сумме 53,5  тыс. рублей. </w:t>
      </w:r>
    </w:p>
    <w:p w14:paraId="82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2.   Вручено 824 извещение об уплате налога; </w:t>
      </w:r>
    </w:p>
    <w:p w14:paraId="83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 Информирование налогоплательщиков о действии сайта УФНС по РО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"http://www.r61.nalog.ru/"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www.r61.nalog.ru</w:t>
      </w:r>
      <w:r>
        <w:rPr>
          <w:rStyle w:val="Style_7_ch"/>
          <w:sz w:val="28"/>
        </w:rPr>
        <w:fldChar w:fldCharType="end"/>
      </w:r>
      <w:r>
        <w:rPr>
          <w:sz w:val="28"/>
        </w:rPr>
        <w:t xml:space="preserve"> «личный кабин</w:t>
      </w:r>
      <w:r>
        <w:rPr>
          <w:sz w:val="28"/>
        </w:rPr>
        <w:t>ет»;</w:t>
      </w:r>
    </w:p>
    <w:p w14:paraId="84030000">
      <w:pPr>
        <w:ind w:firstLine="900" w:left="0"/>
        <w:jc w:val="both"/>
        <w:rPr>
          <w:sz w:val="28"/>
        </w:rPr>
      </w:pPr>
      <w:r>
        <w:rPr>
          <w:sz w:val="28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14:paraId="85030000">
      <w:pPr>
        <w:ind w:firstLine="900" w:left="0"/>
        <w:jc w:val="both"/>
        <w:rPr>
          <w:sz w:val="28"/>
        </w:rPr>
      </w:pPr>
      <w:r>
        <w:rPr>
          <w:sz w:val="28"/>
        </w:rPr>
        <w:t>5. Произведен подворный обход 824 жителей поселения с целью информи</w:t>
      </w:r>
      <w:r>
        <w:rPr>
          <w:sz w:val="28"/>
        </w:rPr>
        <w:t>рования о наличии у них недоимки;</w:t>
      </w:r>
    </w:p>
    <w:p w14:paraId="86030000">
      <w:pPr>
        <w:ind w:firstLine="900" w:left="0"/>
        <w:jc w:val="both"/>
        <w:rPr>
          <w:sz w:val="28"/>
        </w:rPr>
      </w:pPr>
      <w:r>
        <w:rPr>
          <w:sz w:val="28"/>
        </w:rPr>
        <w:t>6. Проведена работа с главным специалистом по имущественным и земельным отношениям, по выявлению земельных участков проданных или переданных собственникам в аренду ИП, физических лиц не проживающих на территории поселения.</w:t>
      </w:r>
    </w:p>
    <w:p w14:paraId="87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7. Представлены сведения по недоимке в МИ ФНС невозможные ко взысканию. </w:t>
      </w:r>
    </w:p>
    <w:p w14:paraId="88030000">
      <w:pPr>
        <w:ind w:firstLine="900" w:left="0"/>
        <w:jc w:val="both"/>
        <w:rPr>
          <w:sz w:val="28"/>
        </w:rPr>
      </w:pPr>
      <w:r>
        <w:rPr>
          <w:sz w:val="28"/>
        </w:rPr>
        <w:t>8. Администрацией производится размещение информационных листовок на стендах, с указанием сроков уплаты имущественных налогов.</w:t>
      </w:r>
    </w:p>
    <w:p w14:paraId="89030000">
      <w:pPr>
        <w:ind w:firstLine="900" w:left="0"/>
        <w:jc w:val="both"/>
        <w:rPr>
          <w:sz w:val="28"/>
        </w:rPr>
      </w:pPr>
      <w:r>
        <w:rPr>
          <w:sz w:val="28"/>
        </w:rPr>
        <w:t>9. Организованна работа с крупными организациями-работо</w:t>
      </w:r>
      <w:r>
        <w:rPr>
          <w:sz w:val="28"/>
        </w:rPr>
        <w:t xml:space="preserve">дателями по информированию работников о необходимости полной и своевременной уплаты имущественных налогов. </w:t>
      </w:r>
    </w:p>
    <w:p w14:paraId="8A030000">
      <w:pPr>
        <w:ind w:firstLine="900" w:left="0"/>
        <w:jc w:val="both"/>
        <w:rPr>
          <w:sz w:val="28"/>
        </w:rPr>
      </w:pPr>
    </w:p>
    <w:p w14:paraId="8B030000">
      <w:pPr>
        <w:ind w:firstLine="900" w:left="0"/>
        <w:jc w:val="both"/>
        <w:rPr>
          <w:sz w:val="28"/>
        </w:rPr>
      </w:pPr>
    </w:p>
    <w:p w14:paraId="8C030000">
      <w:pPr>
        <w:ind w:firstLine="900" w:left="0"/>
        <w:jc w:val="both"/>
        <w:rPr>
          <w:sz w:val="28"/>
        </w:rPr>
      </w:pPr>
    </w:p>
    <w:p w14:paraId="8D030000">
      <w:pPr>
        <w:ind w:firstLine="900" w:left="0"/>
        <w:jc w:val="both"/>
        <w:rPr>
          <w:sz w:val="28"/>
        </w:rPr>
      </w:pPr>
    </w:p>
    <w:p w14:paraId="8E030000">
      <w:pPr>
        <w:ind w:firstLine="900" w:left="0"/>
        <w:jc w:val="both"/>
        <w:rPr>
          <w:sz w:val="28"/>
        </w:rPr>
      </w:pPr>
    </w:p>
    <w:p w14:paraId="8F030000">
      <w:pPr>
        <w:ind w:firstLine="900" w:left="0"/>
        <w:jc w:val="both"/>
        <w:rPr>
          <w:sz w:val="28"/>
        </w:rPr>
      </w:pPr>
    </w:p>
    <w:p w14:paraId="90030000">
      <w:pPr>
        <w:ind w:firstLine="709" w:left="0"/>
        <w:jc w:val="both"/>
        <w:rPr>
          <w:sz w:val="28"/>
        </w:rPr>
      </w:pPr>
      <w:r>
        <w:rPr>
          <w:sz w:val="28"/>
          <w:u w:val="single"/>
        </w:rPr>
        <w:t>Основные показатели бюджета поселения за 2022 год</w:t>
      </w:r>
      <w:r>
        <w:rPr>
          <w:sz w:val="28"/>
        </w:rPr>
        <w:t xml:space="preserve"> характеризуются следующими данными:</w:t>
      </w:r>
    </w:p>
    <w:p w14:paraId="91030000">
      <w:pPr>
        <w:ind w:firstLine="700" w:left="0"/>
        <w:jc w:val="right"/>
        <w:rPr>
          <w:sz w:val="28"/>
        </w:rPr>
      </w:pPr>
      <w:r>
        <w:rPr>
          <w:sz w:val="28"/>
        </w:rPr>
        <w:t>(тыс. рублей)</w:t>
      </w:r>
    </w:p>
    <w:p w14:paraId="92030000">
      <w:pPr>
        <w:ind w:firstLine="700" w:left="0"/>
        <w:jc w:val="right"/>
        <w:rPr>
          <w:sz w:val="28"/>
        </w:rPr>
      </w:pPr>
    </w:p>
    <w:tbl>
      <w:tblPr>
        <w:tblStyle w:val="Style_3"/>
        <w:tblLayout w:type="fixed"/>
      </w:tblPr>
      <w:tblGrid>
        <w:gridCol w:w="3229"/>
        <w:gridCol w:w="1968"/>
        <w:gridCol w:w="1968"/>
        <w:gridCol w:w="1111"/>
        <w:gridCol w:w="1531"/>
      </w:tblGrid>
      <w:tr>
        <w:tc>
          <w:tcPr>
            <w:tcW w:type="dxa" w:w="3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за 2021 год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</w:t>
            </w:r>
            <w:r>
              <w:rPr>
                <w:sz w:val="28"/>
              </w:rPr>
              <w:t>нение за 2022 год</w:t>
            </w:r>
          </w:p>
        </w:tc>
        <w:tc>
          <w:tcPr>
            <w:tcW w:type="dxa" w:w="11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Темп роста</w:t>
            </w:r>
          </w:p>
        </w:tc>
        <w:tc>
          <w:tcPr>
            <w:tcW w:type="dxa" w:w="15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Изменение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Доходы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31 753,9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23 689,3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74,6%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-8 064,6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16 750,2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14 772,1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88,2%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-1 978,1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Безвозмездные поступления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15 003,7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59,4%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-6 086,5</w:t>
            </w:r>
          </w:p>
        </w:tc>
      </w:tr>
      <w:tr>
        <w:trPr>
          <w:trHeight w:hRule="atLeast" w:val="316"/>
        </w:trP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Дотации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9 716,3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8 511,6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87,6%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-1 204,7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9 716,3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7 967,8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82,0%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-1 748,5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543,8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Субвенции,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240,4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106,3%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иные целевые </w:t>
            </w:r>
            <w:r>
              <w:rPr>
                <w:sz w:val="28"/>
              </w:rPr>
              <w:t>межбюджетные трансферты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5 047,0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-4 897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Расходы,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28 781,3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24 074,1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-4 707,2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Дефицит, профицит (-,+)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2 972,6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-384,8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83,2%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-822,6</w:t>
            </w:r>
          </w:p>
        </w:tc>
      </w:tr>
    </w:tbl>
    <w:p w14:paraId="CC030000">
      <w:pPr>
        <w:ind w:firstLine="900" w:left="0"/>
        <w:jc w:val="both"/>
        <w:rPr>
          <w:sz w:val="28"/>
        </w:rPr>
      </w:pPr>
    </w:p>
    <w:p w14:paraId="CD030000">
      <w:pPr>
        <w:ind w:firstLine="900" w:left="0"/>
        <w:jc w:val="center"/>
        <w:rPr>
          <w:sz w:val="28"/>
        </w:rPr>
      </w:pPr>
      <w:r>
        <w:rPr>
          <w:sz w:val="28"/>
        </w:rPr>
        <w:t xml:space="preserve">Анализ поступлений в бюджет поселения в разрезе отдельных источников доходов представлен следующим </w:t>
      </w:r>
      <w:r>
        <w:rPr>
          <w:sz w:val="28"/>
        </w:rPr>
        <w:t>образом:</w:t>
      </w:r>
    </w:p>
    <w:p w14:paraId="CE030000">
      <w:pPr>
        <w:ind w:firstLine="900" w:left="0"/>
        <w:jc w:val="center"/>
        <w:rPr>
          <w:sz w:val="28"/>
        </w:rPr>
      </w:pPr>
    </w:p>
    <w:p w14:paraId="CF030000">
      <w:pPr>
        <w:ind w:firstLine="900" w:left="0"/>
        <w:jc w:val="center"/>
        <w:rPr>
          <w:sz w:val="28"/>
        </w:rPr>
      </w:pPr>
      <w:r>
        <w:rPr>
          <w:sz w:val="28"/>
        </w:rPr>
        <w:t>Налоговые доходы:</w:t>
      </w:r>
    </w:p>
    <w:p w14:paraId="D0030000">
      <w:pPr>
        <w:ind w:firstLine="900" w:left="0"/>
        <w:jc w:val="center"/>
        <w:rPr>
          <w:sz w:val="28"/>
        </w:rPr>
      </w:pPr>
    </w:p>
    <w:p w14:paraId="D1030000">
      <w:pPr>
        <w:ind w:firstLine="900" w:left="0"/>
        <w:jc w:val="both"/>
        <w:rPr>
          <w:sz w:val="28"/>
        </w:rPr>
      </w:pPr>
      <w:r>
        <w:rPr>
          <w:sz w:val="28"/>
        </w:rPr>
        <w:t>В 2022 году фактическое поступление налоговых доходов составило 14 252,3 тыс. рублей, годовой план исполнен на 100,5 % или больше на 65,6 тыс. рублей. Это связано с фактическим поступлением налога на доходы физических лиц. В ст</w:t>
      </w:r>
      <w:r>
        <w:rPr>
          <w:sz w:val="28"/>
        </w:rPr>
        <w:t>руктуре доходов поселения на долю налоговых доходов приходится 60,2 %, в структуре собственных доходов на долю налоговых доходов приходится 96,5 %.</w:t>
      </w:r>
    </w:p>
    <w:p w14:paraId="D2030000">
      <w:pPr>
        <w:ind w:firstLine="900" w:left="0"/>
        <w:jc w:val="both"/>
        <w:rPr>
          <w:sz w:val="28"/>
        </w:rPr>
      </w:pPr>
      <w:r>
        <w:rPr>
          <w:sz w:val="28"/>
        </w:rPr>
        <w:t> </w:t>
      </w:r>
    </w:p>
    <w:p w14:paraId="D3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Основным источником налоговых доходов является </w:t>
      </w:r>
      <w:r>
        <w:rPr>
          <w:sz w:val="28"/>
          <w:u w:color="000000" w:val="single"/>
        </w:rPr>
        <w:t>земельный налог,</w:t>
      </w:r>
      <w:r>
        <w:rPr>
          <w:sz w:val="28"/>
        </w:rPr>
        <w:t xml:space="preserve"> на его долю приходится 41,6 процентов. Фактическое поступление земельного </w:t>
      </w:r>
      <w:r>
        <w:rPr>
          <w:sz w:val="28"/>
        </w:rPr>
        <w:t>налога составило 5 926,2 тыс. рублей план года исполнен на 103,4 %, в сравнении с 2021 годом налог поступил больше на 5,4 % или на 304,5 тыс. рублей.</w:t>
      </w:r>
    </w:p>
    <w:p w14:paraId="D403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color="000000" w:val="single"/>
        </w:rPr>
        <w:t>Земельный налог физических ли</w:t>
      </w:r>
      <w:r>
        <w:rPr>
          <w:sz w:val="28"/>
          <w:u w:color="000000" w:val="single"/>
        </w:rPr>
        <w:t>ц</w:t>
      </w:r>
      <w:r>
        <w:rPr>
          <w:sz w:val="28"/>
        </w:rPr>
        <w:t xml:space="preserve"> поступил в сумме 5 393,2 тыс. рублей, план года исполнен на 103,2 %. В сравнении с прошлым годом налог поступил больше на 6,4 % или на 323,3 тыс. рублей. Основная причина исполнения плана погашение недоимки прошлых лет.</w:t>
      </w:r>
    </w:p>
    <w:p w14:paraId="D5030000">
      <w:pPr>
        <w:ind/>
        <w:jc w:val="both"/>
        <w:rPr>
          <w:sz w:val="28"/>
        </w:rPr>
      </w:pPr>
      <w:r>
        <w:rPr>
          <w:sz w:val="28"/>
          <w:u w:color="000000" w:val="single"/>
        </w:rPr>
        <w:t>- Земельный налог с организаций</w:t>
      </w:r>
      <w:r>
        <w:rPr>
          <w:sz w:val="28"/>
        </w:rPr>
        <w:t xml:space="preserve"> по</w:t>
      </w:r>
      <w:r>
        <w:rPr>
          <w:sz w:val="28"/>
        </w:rPr>
        <w:t>ступил в сумме 533,0 тыс. рублей, план года  исполнен на 105,8 %. В сравнении с прошлым годом налог поступил меньше на 18,8 тыс. рублей.</w:t>
      </w:r>
    </w:p>
    <w:p w14:paraId="D6030000">
      <w:pPr>
        <w:ind w:firstLine="851" w:left="0"/>
        <w:jc w:val="both"/>
        <w:rPr>
          <w:sz w:val="28"/>
        </w:rPr>
      </w:pPr>
      <w:r>
        <w:rPr>
          <w:sz w:val="28"/>
        </w:rPr>
        <w:t>Недоимка по земельному налогу составляет в сумме 636,1 тыс. рублей. Из них невозможно ко взысканию в сумме 175,2 тыс. р</w:t>
      </w:r>
      <w:r>
        <w:rPr>
          <w:sz w:val="28"/>
        </w:rPr>
        <w:t>ублей по причине: не проживает и не зарегистрировано 82 человека – 88,3 тыс. рублей, зарегистрировано, но не проживает 61 человек – 82,2 тыс. рублей, умершие 5 человек- 4,7 тыс. рублей.</w:t>
      </w:r>
    </w:p>
    <w:p w14:paraId="D7030000">
      <w:pPr>
        <w:ind w:firstLine="851" w:left="0"/>
        <w:jc w:val="both"/>
        <w:rPr>
          <w:sz w:val="28"/>
          <w:shd w:fill="FFE779" w:val="clear"/>
        </w:rPr>
      </w:pPr>
      <w:r>
        <w:rPr>
          <w:sz w:val="28"/>
        </w:rPr>
        <w:t>На втором месте в структуре доходов находится е</w:t>
      </w:r>
      <w:r>
        <w:rPr>
          <w:sz w:val="28"/>
          <w:u w:color="000000" w:val="single"/>
        </w:rPr>
        <w:t>диный сельскохозяйствен</w:t>
      </w:r>
      <w:r>
        <w:rPr>
          <w:sz w:val="28"/>
          <w:u w:color="000000" w:val="single"/>
        </w:rPr>
        <w:t>ный налог</w:t>
      </w:r>
      <w:r>
        <w:rPr>
          <w:sz w:val="28"/>
        </w:rPr>
        <w:t xml:space="preserve"> на его долю приходится 32,7 процентов,  налог поступил в сумме 4 827,0 тыс. рублей. План исполнен на 93,8 %, в сравнении с 2021 годом исполнение меньше на 20,7 % или 1 261,7 тыс. рублей, Не достижение необходимого роста по единому сельскохозяйств</w:t>
      </w:r>
      <w:r>
        <w:rPr>
          <w:sz w:val="28"/>
        </w:rPr>
        <w:t>енному налогу - внесения авансовых платежей больше чем сложился налог за 2021 год, приобретения основных средств(сельскохозяйственной техники, земельных участков, уменьшение прибыли по итогам 2021 года. Уменьшение уплаты налога за 2022 год к аналогичному п</w:t>
      </w:r>
      <w:r>
        <w:rPr>
          <w:sz w:val="28"/>
        </w:rPr>
        <w:t>ериоду прошлого года по наиболее крупным налогоплательщикам: ИП Глава К(Ф)Х Шленчак А.А., ИП Глава К(Ф)Х «Буханцев А.В.», ООО «Агровектор», ИП Бабкина А.П.</w:t>
      </w:r>
    </w:p>
    <w:p w14:paraId="D8030000">
      <w:pPr>
        <w:ind w:firstLine="851" w:left="0"/>
        <w:jc w:val="both"/>
        <w:rPr>
          <w:sz w:val="28"/>
        </w:rPr>
      </w:pPr>
      <w:r>
        <w:rPr>
          <w:sz w:val="28"/>
        </w:rPr>
        <w:t>На третьем месте в структуре налоговых доходов находится н</w:t>
      </w:r>
      <w:r>
        <w:rPr>
          <w:sz w:val="28"/>
          <w:u w:color="000000" w:val="single"/>
        </w:rPr>
        <w:t>алог на доходы физических лиц</w:t>
      </w:r>
      <w:r>
        <w:rPr>
          <w:sz w:val="28"/>
        </w:rPr>
        <w:t xml:space="preserve"> на его долю </w:t>
      </w:r>
      <w:r>
        <w:rPr>
          <w:sz w:val="28"/>
        </w:rPr>
        <w:t>приходится 24,7 процентов. Налог поступил в сумме 3 177,6 тыс. рублей, годовой план исполнен 107,7 %. В сравнении  с прошлым годом налог поступил меньше на 283,6 тыс. рублей, по причине снижения цены на сельскохозяйственную продукцию и образованием недоимк</w:t>
      </w:r>
      <w:r>
        <w:rPr>
          <w:sz w:val="28"/>
        </w:rPr>
        <w:t>и у налогоплательщиков зарегистрированных на территории поселения, но не проживающих в количестве 25 человек - 541,9 тыс. рублей. </w:t>
      </w:r>
    </w:p>
    <w:p w14:paraId="D9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 На четвертом месте в структуре налоговых доходов находится </w:t>
      </w:r>
      <w:r>
        <w:rPr>
          <w:sz w:val="28"/>
          <w:u w:color="000000" w:val="single"/>
        </w:rPr>
        <w:t>налог на имущество физических лиц,</w:t>
      </w:r>
      <w:r>
        <w:rPr>
          <w:sz w:val="28"/>
        </w:rPr>
        <w:t xml:space="preserve"> на его долю приходится 0,9 про</w:t>
      </w:r>
      <w:r>
        <w:rPr>
          <w:sz w:val="28"/>
        </w:rPr>
        <w:t>центов. Налог поступил в сумме 321,5 тыс. рублей, план года исполнен на 89,3 %, в сравнении с 2021 годом налог поступил меньше на 4,3 тыс. рублей.</w:t>
      </w:r>
    </w:p>
    <w:p w14:paraId="DA030000">
      <w:pPr>
        <w:ind w:firstLine="850" w:left="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>Недоимка по налогу на имущество физических лиц составляет в сумме 178,2 тыс. рублей. Из них невозможна ко вз</w:t>
      </w:r>
      <w:r>
        <w:rPr>
          <w:sz w:val="28"/>
        </w:rPr>
        <w:t>ысканию в сумме 61,5 тыс. рублей: не проживает и не зарегистрировано 47 человек – 49,7 тыс. рублей, зарегистрированы, но не проживает 52 человека – 10,8 тыс. рублей, умершие 4 человека- 1,0 тыс. рублей.</w:t>
      </w:r>
    </w:p>
    <w:p w14:paraId="DB030000">
      <w:pPr>
        <w:ind w:firstLine="900" w:left="0"/>
        <w:jc w:val="both"/>
        <w:rPr>
          <w:sz w:val="28"/>
        </w:rPr>
      </w:pPr>
      <w:r>
        <w:rPr>
          <w:b w:val="1"/>
          <w:sz w:val="28"/>
        </w:rPr>
        <w:t> </w:t>
      </w:r>
    </w:p>
    <w:p w14:paraId="DC030000">
      <w:pPr>
        <w:ind w:firstLine="900" w:left="0"/>
        <w:jc w:val="center"/>
        <w:rPr>
          <w:sz w:val="28"/>
        </w:rPr>
      </w:pPr>
      <w:r>
        <w:rPr>
          <w:sz w:val="28"/>
        </w:rPr>
        <w:t>Нена</w:t>
      </w:r>
      <w:r>
        <w:rPr>
          <w:sz w:val="28"/>
        </w:rPr>
        <w:t>логовые доходы</w:t>
      </w:r>
    </w:p>
    <w:p w14:paraId="DD030000">
      <w:pPr>
        <w:ind w:firstLine="900" w:left="0"/>
        <w:jc w:val="both"/>
        <w:rPr>
          <w:sz w:val="28"/>
        </w:rPr>
      </w:pPr>
      <w:r>
        <w:rPr>
          <w:b w:val="1"/>
          <w:sz w:val="28"/>
        </w:rPr>
        <w:t> </w:t>
      </w:r>
    </w:p>
    <w:p w14:paraId="DE030000">
      <w:pPr>
        <w:ind w:firstLine="851" w:left="0"/>
        <w:jc w:val="both"/>
        <w:rPr>
          <w:sz w:val="28"/>
        </w:rPr>
      </w:pPr>
      <w:r>
        <w:rPr>
          <w:sz w:val="28"/>
        </w:rPr>
        <w:t>В структуре доходов на долю неналоговых доходов приходится 2,2 %, а в структуре собственных доходов на их долю приходится 3,5 %.  Доходы поступили в сумме 519,8 тыс. руб.</w:t>
      </w:r>
    </w:p>
    <w:p w14:paraId="DF030000">
      <w:pPr>
        <w:numPr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  <w:u w:color="000000" w:val="single"/>
        </w:rPr>
        <w:t>осударственная пошлины за совершение нотариальных действий</w:t>
      </w:r>
      <w:r>
        <w:rPr>
          <w:sz w:val="28"/>
        </w:rPr>
        <w:t xml:space="preserve">.  Доход поступил в сумме 9,4 тыс. рублей, план года </w:t>
      </w:r>
      <w:r>
        <w:rPr>
          <w:sz w:val="28"/>
        </w:rPr>
        <w:t>исполнен на 103,3 процента. В сравнении с прошлым годом доходы поступили больше на 2,3 тыс. рублей.</w:t>
      </w:r>
    </w:p>
    <w:p w14:paraId="E003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Доходы от использования имущества, находящегося в государственной </w:t>
      </w:r>
      <w:r>
        <w:rPr>
          <w:sz w:val="28"/>
        </w:rPr>
        <w:t>и муниципальной собственности поступили в сумме 406,5 тыс. рублей:</w:t>
      </w:r>
    </w:p>
    <w:p w14:paraId="E1030000">
      <w:pPr>
        <w:ind w:firstLine="851" w:left="0"/>
        <w:jc w:val="both"/>
        <w:rPr>
          <w:sz w:val="28"/>
          <w:shd w:fill="FFE779" w:val="clear"/>
        </w:rPr>
      </w:pPr>
      <w:r>
        <w:rPr>
          <w:sz w:val="28"/>
        </w:rPr>
        <w:t xml:space="preserve">- </w:t>
      </w:r>
      <w:r>
        <w:rPr>
          <w:sz w:val="28"/>
          <w:u w:color="000000"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</w:t>
      </w:r>
      <w:r>
        <w:rPr>
          <w:sz w:val="28"/>
          <w:u w:color="000000" w:val="single"/>
        </w:rPr>
        <w:t>мельных участков (за исключением земельных участков бюджетных и автономных учреждений)</w:t>
      </w:r>
      <w:r>
        <w:rPr>
          <w:sz w:val="28"/>
        </w:rPr>
        <w:t xml:space="preserve"> составили 103,9 тыс. рублей, план года исполнен. В сравнении с аналогичным периодом прошлого года доходы поступили меньше в 3 раза, причина продажа в 2021 году 7 земельн</w:t>
      </w:r>
      <w:r>
        <w:rPr>
          <w:sz w:val="28"/>
        </w:rPr>
        <w:t>ых участков находящихся в аренде</w:t>
      </w:r>
      <w:r>
        <w:rPr>
          <w:sz w:val="28"/>
        </w:rPr>
        <w:t>,  по истечении 3х лет аренды (пункта 1 статьи 39,6, пункта 14 статьи 39.12 Земельного кодекса РФ от 25.10.2001 г № 136 ФЗ). В аренде остался один земельный участок.</w:t>
      </w:r>
    </w:p>
    <w:p w14:paraId="E2030000">
      <w:pPr>
        <w:ind w:firstLine="851" w:left="0"/>
        <w:jc w:val="both"/>
        <w:rPr>
          <w:sz w:val="28"/>
        </w:rPr>
      </w:pPr>
      <w:r>
        <w:rPr>
          <w:sz w:val="28"/>
        </w:rPr>
        <w:t>- Доходы от сдачи в аренду имущества, находящегося в опера</w:t>
      </w:r>
      <w:r>
        <w:rPr>
          <w:sz w:val="28"/>
        </w:rPr>
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составили в сумме 288,4 тыс. рублей, план года ис</w:t>
      </w:r>
      <w:r>
        <w:rPr>
          <w:sz w:val="28"/>
        </w:rPr>
        <w:t>полнен. В сравнении с аналогичным периодом прошлого года доходы поступили больше на 14,5 тыс. рублей.</w:t>
      </w:r>
    </w:p>
    <w:p w14:paraId="E303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поступили в сумме 14,2 тыс. </w:t>
      </w:r>
      <w:r>
        <w:rPr>
          <w:sz w:val="28"/>
        </w:rPr>
        <w:t>рублей, план года исполнен. В сравнении с аналогичным периодом прошлого года доходы поступили меньше на 10,3 тыс. рублей.  </w:t>
      </w:r>
    </w:p>
    <w:p w14:paraId="E403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В сумме 102,7 тыс. рублей поступили доходы от компенсации затрат по возмещению коммунальных услуг (компенсация коммунальных услуг </w:t>
      </w:r>
      <w:r>
        <w:rPr>
          <w:sz w:val="28"/>
        </w:rPr>
        <w:t>МФЦ, ЦСО, АО «СБЕРБАНК», парикмахерская).</w:t>
      </w:r>
    </w:p>
    <w:p w14:paraId="E5030000">
      <w:pPr>
        <w:ind w:firstLine="851" w:left="0"/>
        <w:jc w:val="both"/>
        <w:rPr>
          <w:sz w:val="28"/>
        </w:rPr>
      </w:pPr>
      <w:r>
        <w:rPr>
          <w:sz w:val="28"/>
        </w:rPr>
        <w:t>- В сумме 1,2 тыс. рублей поступили доходы от денежных взысканий (штрафов) по административным правонарушениям.</w:t>
      </w:r>
    </w:p>
    <w:p w14:paraId="E6030000">
      <w:pPr>
        <w:ind/>
        <w:jc w:val="both"/>
        <w:rPr>
          <w:sz w:val="28"/>
        </w:rPr>
      </w:pPr>
      <w:r>
        <w:rPr>
          <w:sz w:val="28"/>
        </w:rPr>
        <w:t> </w:t>
      </w:r>
    </w:p>
    <w:p w14:paraId="E7030000">
      <w:pPr>
        <w:ind/>
        <w:jc w:val="center"/>
        <w:rPr>
          <w:sz w:val="28"/>
        </w:rPr>
      </w:pPr>
      <w:r>
        <w:rPr>
          <w:sz w:val="28"/>
        </w:rPr>
        <w:t>Безвозмездные поступления</w:t>
      </w:r>
    </w:p>
    <w:p w14:paraId="E8030000">
      <w:pPr>
        <w:ind w:firstLine="709" w:left="0"/>
        <w:jc w:val="both"/>
        <w:rPr>
          <w:sz w:val="28"/>
        </w:rPr>
      </w:pPr>
      <w:r>
        <w:rPr>
          <w:sz w:val="28"/>
        </w:rPr>
        <w:t> </w:t>
      </w:r>
    </w:p>
    <w:p w14:paraId="E9030000">
      <w:pPr>
        <w:ind w:firstLine="709" w:left="0"/>
        <w:jc w:val="both"/>
        <w:rPr>
          <w:sz w:val="28"/>
        </w:rPr>
      </w:pPr>
      <w:r>
        <w:rPr>
          <w:sz w:val="28"/>
        </w:rPr>
        <w:t>Доходы от безвозмездных поступлений поступили в сумме 8 917,2 тыс. рубле</w:t>
      </w:r>
      <w:r>
        <w:rPr>
          <w:sz w:val="28"/>
        </w:rPr>
        <w:t>й, в структуре доходов на их долю приходится 37,6 %. </w:t>
      </w:r>
    </w:p>
    <w:p w14:paraId="EA030000">
      <w:pPr>
        <w:ind w:firstLine="709" w:left="0"/>
        <w:jc w:val="both"/>
        <w:rPr>
          <w:sz w:val="28"/>
        </w:rPr>
      </w:pPr>
      <w:r>
        <w:rPr>
          <w:sz w:val="28"/>
        </w:rPr>
        <w:t>Субвенции на осуществление первичного воинского учета поступили в сумме 255,4 тыс.  рублей, план исполнен на 100,0%.</w:t>
      </w:r>
    </w:p>
    <w:p w14:paraId="EB030000">
      <w:pPr>
        <w:ind w:firstLine="709" w:left="0"/>
        <w:jc w:val="both"/>
        <w:rPr>
          <w:sz w:val="28"/>
        </w:rPr>
      </w:pPr>
      <w:r>
        <w:rPr>
          <w:sz w:val="28"/>
        </w:rPr>
        <w:t>Субвенции местным бюджетам на выполнение передаваемых полномочий субъектов Российской</w:t>
      </w:r>
      <w:r>
        <w:rPr>
          <w:sz w:val="28"/>
        </w:rPr>
        <w:t xml:space="preserve"> Федерации по составлению административных протоколов  поступили в сумме 0,2 тыс. рублей, план исполнен на 100%.</w:t>
      </w:r>
    </w:p>
    <w:p w14:paraId="EC030000">
      <w:pPr>
        <w:ind w:firstLine="709" w:left="0"/>
        <w:jc w:val="both"/>
        <w:rPr>
          <w:sz w:val="28"/>
        </w:rPr>
      </w:pPr>
      <w:r>
        <w:rPr>
          <w:sz w:val="28"/>
        </w:rPr>
        <w:t>Дотации бюджетам сельских поселений на выравнивание бюджетной обеспеченности поступили в сумме 7 967,8 тыс. рублей, план исполнен на 100,0 %. В</w:t>
      </w:r>
      <w:r>
        <w:rPr>
          <w:sz w:val="28"/>
        </w:rPr>
        <w:t xml:space="preserve"> сравнении с прошлым годом доходы поступили меньше на 18 % или 1 748,5 тыс. рублей.</w:t>
      </w:r>
    </w:p>
    <w:p w14:paraId="ED030000">
      <w:pPr>
        <w:ind w:firstLine="709" w:left="0"/>
        <w:jc w:val="both"/>
        <w:rPr>
          <w:sz w:val="28"/>
        </w:rPr>
      </w:pPr>
      <w:r>
        <w:rPr>
          <w:sz w:val="28"/>
        </w:rPr>
        <w:t>Дотации бюджетам сельских поселений на поддержку мер по обеспечению сбалансированности бюджетов поступили в сумме 543,8 тыс. рублей, план исполнен на 100 %.</w:t>
      </w:r>
    </w:p>
    <w:p w14:paraId="EE030000">
      <w:pPr>
        <w:ind w:firstLine="900" w:left="0"/>
        <w:jc w:val="center"/>
        <w:rPr>
          <w:sz w:val="28"/>
        </w:rPr>
      </w:pPr>
    </w:p>
    <w:p w14:paraId="EF030000">
      <w:pPr>
        <w:ind w:firstLine="900" w:left="0"/>
        <w:jc w:val="center"/>
        <w:rPr>
          <w:sz w:val="28"/>
        </w:rPr>
      </w:pPr>
      <w:r>
        <w:rPr>
          <w:sz w:val="28"/>
        </w:rPr>
        <w:t>Расходная част</w:t>
      </w:r>
      <w:r>
        <w:rPr>
          <w:sz w:val="28"/>
        </w:rPr>
        <w:t>ь бюджета</w:t>
      </w:r>
    </w:p>
    <w:p w14:paraId="F0030000">
      <w:pPr>
        <w:ind w:firstLine="900" w:left="0"/>
        <w:jc w:val="center"/>
        <w:rPr>
          <w:sz w:val="28"/>
        </w:rPr>
      </w:pPr>
    </w:p>
    <w:p w14:paraId="F1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</w:t>
      </w:r>
      <w:r>
        <w:t> </w:t>
      </w:r>
      <w:r>
        <w:rPr>
          <w:sz w:val="28"/>
        </w:rPr>
        <w:t>Расходная часть бюджета за 2022 год составила в сумме 24 074,1тыс. рублей, план года исполнен на 96,7 %.</w:t>
      </w:r>
    </w:p>
    <w:p w14:paraId="F2030000">
      <w:pPr>
        <w:ind w:firstLine="851" w:left="0"/>
        <w:jc w:val="both"/>
        <w:rPr>
          <w:sz w:val="28"/>
        </w:rPr>
      </w:pPr>
      <w:r>
        <w:rPr>
          <w:sz w:val="28"/>
        </w:rPr>
        <w:t>Бюджет исполнен с дефицитом в сумме 384,8 тыс. рублей, покрытый за счет остатков сложившихся по состоянию на 01.01.2022 года.</w:t>
      </w:r>
    </w:p>
    <w:p w14:paraId="F303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Остатки, </w:t>
      </w:r>
      <w:r>
        <w:rPr>
          <w:sz w:val="28"/>
        </w:rPr>
        <w:t>сложившиеся по состоянию на 01.01.2023 года составили в сумме 4 002,3 тыс. рублей.</w:t>
      </w:r>
    </w:p>
    <w:p w14:paraId="F4030000">
      <w:pPr>
        <w:ind w:firstLine="851" w:left="0"/>
        <w:jc w:val="both"/>
        <w:rPr>
          <w:sz w:val="28"/>
        </w:rPr>
      </w:pPr>
      <w:r>
        <w:rPr>
          <w:sz w:val="28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Кринично-Лугского сельского поселения</w:t>
      </w:r>
      <w:r>
        <w:rPr>
          <w:sz w:val="28"/>
        </w:rPr>
        <w:t xml:space="preserve"> 11 муниципальных программ (на их реализацию направлено 96,4 % от общего объема расходов).  Муниципальные программы Кринично-Лугского сельского поселения были направлены на поступательное развитие социальной сферы, коммунальной инфраструктуры. Фактическое </w:t>
      </w:r>
      <w:r>
        <w:rPr>
          <w:sz w:val="28"/>
        </w:rPr>
        <w:t>исполнение плана по выполнению муниципальных программ составило в сумме 23 202,3 тыс. рублей, что составляет 98,4 процента к годовым плановым назначениям на утверждение муниципальных программ. </w:t>
      </w:r>
    </w:p>
    <w:p w14:paraId="F5030000">
      <w:pPr>
        <w:ind w:firstLine="851" w:left="0"/>
        <w:jc w:val="both"/>
        <w:rPr>
          <w:sz w:val="28"/>
        </w:rPr>
      </w:pPr>
      <w:r>
        <w:rPr>
          <w:sz w:val="28"/>
        </w:rPr>
        <w:t>Расходы жилищно-коммунального хозяйства составляют в сумме 2 1</w:t>
      </w:r>
      <w:r>
        <w:rPr>
          <w:sz w:val="28"/>
        </w:rPr>
        <w:t>10,1 тыс. рублей или 8,7 % от общей суммы расходов, годовой план исполнен на 85,4 % (в сравнении с прошлым годом меньше в 3,5 раза или на 5 379,5 тыс. рублей).</w:t>
      </w:r>
    </w:p>
    <w:p w14:paraId="F603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культуру и спорт составляют 11 669,0 тыс. рублей, 48,5 % от общей суммы расходов, год</w:t>
      </w:r>
      <w:r>
        <w:rPr>
          <w:sz w:val="28"/>
        </w:rPr>
        <w:t>овой план исполнен (в сравнении с прошлым годом расходы больше на 766,2 тыс. рублей).</w:t>
      </w:r>
    </w:p>
    <w:p w14:paraId="F7030000">
      <w:pPr>
        <w:ind w:firstLine="851" w:left="0"/>
        <w:jc w:val="both"/>
        <w:rPr>
          <w:sz w:val="28"/>
        </w:rPr>
      </w:pPr>
      <w:r>
        <w:rPr>
          <w:sz w:val="28"/>
        </w:rPr>
        <w:t>В бюджете поселения на 01.01.2023 год отсутствует просроченная кредиторская задолженность.</w:t>
      </w:r>
    </w:p>
    <w:p w14:paraId="F8030000">
      <w:pPr>
        <w:ind w:firstLine="900" w:left="0"/>
        <w:jc w:val="both"/>
        <w:rPr>
          <w:sz w:val="28"/>
        </w:rPr>
      </w:pPr>
      <w:r>
        <w:rPr>
          <w:sz w:val="28"/>
        </w:rPr>
        <w:t>Расходование бюджетных средств направлено по следующим разделам:</w:t>
      </w:r>
    </w:p>
    <w:p w14:paraId="F9030000">
      <w:pPr>
        <w:ind w:firstLine="900" w:left="0"/>
        <w:jc w:val="center"/>
        <w:rPr>
          <w:sz w:val="28"/>
        </w:rPr>
      </w:pPr>
      <w:r>
        <w:rPr>
          <w:sz w:val="28"/>
        </w:rPr>
        <w:t> </w:t>
      </w:r>
    </w:p>
    <w:p w14:paraId="FA030000">
      <w:pPr>
        <w:ind w:firstLine="900" w:left="0"/>
        <w:jc w:val="center"/>
        <w:rPr>
          <w:sz w:val="28"/>
        </w:rPr>
      </w:pPr>
      <w:r>
        <w:rPr>
          <w:sz w:val="28"/>
        </w:rPr>
        <w:t>ОБЩЕГОСУДАРС</w:t>
      </w:r>
      <w:r>
        <w:rPr>
          <w:sz w:val="28"/>
        </w:rPr>
        <w:t>ТВЕННЫЕ ВОПРОСЫ</w:t>
      </w:r>
    </w:p>
    <w:p w14:paraId="FB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расходы по этому направлению составили в сумме 9 809,6 тыс. рублей, в сравнении с прошлым годом на 146,5 тыс. рублей меньше.</w:t>
      </w:r>
    </w:p>
    <w:p w14:paraId="FC03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содержание органов местного самоуправления исполнены в сумме 9 454,2 тыс. рублей, 39,3 %.</w:t>
      </w:r>
    </w:p>
    <w:p w14:paraId="FD030000">
      <w:pPr>
        <w:ind w:firstLine="900" w:left="0"/>
        <w:jc w:val="both"/>
        <w:rPr>
          <w:sz w:val="28"/>
        </w:rPr>
      </w:pPr>
      <w:r>
        <w:rPr>
          <w:sz w:val="28"/>
        </w:rPr>
        <w:t>1. Расходы на</w:t>
      </w:r>
      <w:r>
        <w:rPr>
          <w:sz w:val="28"/>
        </w:rPr>
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составили в сумме 185,4 тыс. рублей, план исполнен на 99,7% (расходы направлены на выплату заработной платы и начислени</w:t>
      </w:r>
      <w:r>
        <w:rPr>
          <w:sz w:val="28"/>
        </w:rPr>
        <w:t xml:space="preserve">й на заработную </w:t>
      </w:r>
      <w:r>
        <w:rPr>
          <w:sz w:val="28"/>
        </w:rPr>
        <w:t>плату в сумме 178,5 тыс. рублей, на приобретение программного обеспечения Контур в сумме 6,9 тыс. рублей).</w:t>
      </w:r>
    </w:p>
    <w:p w14:paraId="FE030000">
      <w:pPr>
        <w:ind w:firstLine="851" w:left="0"/>
        <w:jc w:val="both"/>
        <w:rPr>
          <w:sz w:val="28"/>
        </w:rPr>
      </w:pPr>
      <w:r>
        <w:rPr>
          <w:sz w:val="28"/>
        </w:rPr>
        <w:t>2. Расходы на Функционирование Правительства Российской Федерации высших исполнительных органов государственной  власти субъектов Рос</w:t>
      </w:r>
      <w:r>
        <w:rPr>
          <w:sz w:val="28"/>
        </w:rPr>
        <w:t>сийской Федерации, местных администраций в сумме 9 269,0 тыс. рублей, план исполнен на 99,8 %.</w:t>
      </w:r>
    </w:p>
    <w:p w14:paraId="FF030000">
      <w:pPr>
        <w:ind w:firstLine="851" w:left="0"/>
        <w:jc w:val="both"/>
        <w:rPr>
          <w:sz w:val="28"/>
        </w:rPr>
      </w:pPr>
      <w:r>
        <w:rPr>
          <w:sz w:val="28"/>
        </w:rPr>
        <w:t>2.1. р</w:t>
      </w:r>
      <w:r>
        <w:rPr>
          <w:sz w:val="28"/>
          <w:u w:color="000000" w:val="single"/>
        </w:rPr>
        <w:t>асходы по обеспечению пожарной безопасности</w:t>
      </w:r>
      <w:r>
        <w:rPr>
          <w:sz w:val="28"/>
        </w:rPr>
        <w:t xml:space="preserve"> составили в сумме 35,9 тыс. рублей или на 100,0% к годовому плану. Расходы направлены на техническое обслуживан</w:t>
      </w:r>
      <w:r>
        <w:rPr>
          <w:sz w:val="28"/>
        </w:rPr>
        <w:t>ие пожарной сигнализации, техническое испытание электропроводки.</w:t>
      </w:r>
    </w:p>
    <w:p w14:paraId="00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  <w:u w:color="000000" w:val="single"/>
        </w:rPr>
        <w:t>расходы по оплате труда и начисления на выплаты по оплате труда</w:t>
      </w:r>
      <w:r>
        <w:rPr>
          <w:sz w:val="28"/>
        </w:rPr>
        <w:t xml:space="preserve"> руководства и работников Администрации сельского поселения составили в сумме 7 692,0 тыс. рублей, план исполнен на 99,9 пр</w:t>
      </w:r>
      <w:r>
        <w:rPr>
          <w:sz w:val="28"/>
        </w:rPr>
        <w:t>оцентов;</w:t>
      </w:r>
    </w:p>
    <w:p w14:paraId="01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  <w:u w:color="000000" w:val="single"/>
        </w:rPr>
        <w:t>расходы на обеспечение функций</w:t>
      </w:r>
      <w:r>
        <w:rPr>
          <w:sz w:val="28"/>
        </w:rPr>
        <w:t xml:space="preserve"> Администрации поселения составили в сумме 1 486,0 тыс. рублей, план исполнен на 98,6 % к годовым назначениям, из них:  услуги связи 58,5 тыс. рублей, коммунальные услуги 892,1 тыс. рублей; работы и услуги по сод</w:t>
      </w:r>
      <w:r>
        <w:rPr>
          <w:sz w:val="28"/>
        </w:rPr>
        <w:t>ержанию имущества – 94,5 тыс. рублей (дератизация, техобслуживание автомобилей, котлов, газопровода, гидравлические испытания отопительной системы и шиномонтаж),  ГСМ в сумме 274,7 тыс. рублей, прочие работы в сумме 38,1тыс. рублей (медосмотр водителей), м</w:t>
      </w:r>
      <w:r>
        <w:rPr>
          <w:sz w:val="28"/>
        </w:rPr>
        <w:t>атериальные запасы в сумме 94,4 тыс. рублей (хозтовары -9,4 тыс. рублей, канцтовары-39,4 тыс. рублей, запас. части авто 31,5 тыс. рублей, запас.части оргтехники – 12,3 тыс. рублей).</w:t>
      </w:r>
    </w:p>
    <w:p w14:paraId="02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sz w:val="28"/>
          <w:u w:val="single"/>
        </w:rPr>
        <w:t>Расходы по диспансеризации муниципальных служащих</w:t>
      </w:r>
      <w:r>
        <w:rPr>
          <w:sz w:val="28"/>
        </w:rPr>
        <w:t xml:space="preserve"> составили в сумме 1</w:t>
      </w:r>
      <w:r>
        <w:rPr>
          <w:sz w:val="28"/>
        </w:rPr>
        <w:t>7,7 тыс. рублей, план исполнен на 99,8 % к годовым назначениям.</w:t>
      </w:r>
    </w:p>
    <w:p w14:paraId="03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2.5. </w:t>
      </w:r>
      <w:r>
        <w:rPr>
          <w:sz w:val="28"/>
          <w:u w:color="000000" w:val="single"/>
        </w:rPr>
        <w:t>расходы по уплате налогов</w:t>
      </w:r>
      <w:r>
        <w:rPr>
          <w:sz w:val="28"/>
        </w:rPr>
        <w:t xml:space="preserve"> (земельного, транспортного) составили в сумме 37,2 тыс. рублей, план исполнен на 99,9%.</w:t>
      </w:r>
    </w:p>
    <w:p w14:paraId="04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2.6. Субвенция на осуществление полномочий по административным </w:t>
      </w:r>
      <w:r>
        <w:rPr>
          <w:sz w:val="28"/>
        </w:rPr>
        <w:t>правонарушениям составили в сумме 0,2 тыс. рублей, план исполнен на 100,0%.</w:t>
      </w:r>
    </w:p>
    <w:p w14:paraId="05040000">
      <w:pPr>
        <w:ind w:firstLine="851" w:left="0"/>
        <w:jc w:val="both"/>
        <w:rPr>
          <w:sz w:val="28"/>
        </w:rPr>
      </w:pPr>
      <w:r>
        <w:rPr>
          <w:sz w:val="28"/>
        </w:rPr>
        <w:t> </w:t>
      </w:r>
    </w:p>
    <w:p w14:paraId="06040000">
      <w:pPr>
        <w:ind w:firstLine="851" w:left="0"/>
        <w:jc w:val="both"/>
        <w:rPr>
          <w:sz w:val="28"/>
        </w:rPr>
      </w:pPr>
      <w:r>
        <w:rPr>
          <w:sz w:val="28"/>
        </w:rPr>
        <w:t>3. Другие общегосударственные вопросы составили в сумме 355,2 тыс. рублей план исполнен на 99,7%:</w:t>
      </w:r>
    </w:p>
    <w:p w14:paraId="07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u w:color="000000" w:val="single"/>
        </w:rPr>
        <w:t>расходы по информационным услугам</w:t>
      </w:r>
      <w:r>
        <w:rPr>
          <w:sz w:val="28"/>
        </w:rPr>
        <w:t xml:space="preserve">  составили в сумме 223,6 тыс. рублей, 99,</w:t>
      </w:r>
      <w:r>
        <w:rPr>
          <w:sz w:val="28"/>
        </w:rPr>
        <w:t>7% к плану года. Расходы направлены на получение информационных услуг Консультант+, обслуживание сайта, программное обеспечение средства защиты информации, Контур, 1-С бухгалтерия.</w:t>
      </w:r>
    </w:p>
    <w:p w14:paraId="08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u w:color="000000" w:val="single"/>
        </w:rPr>
        <w:t>расходы по уплате налогов</w:t>
      </w:r>
      <w:r>
        <w:rPr>
          <w:sz w:val="28"/>
        </w:rPr>
        <w:t>(транспортного) составили в сумме 7,0 тыс. ру</w:t>
      </w:r>
      <w:r>
        <w:rPr>
          <w:sz w:val="28"/>
        </w:rPr>
        <w:t>блей, план исполнен на 100,0%.</w:t>
      </w:r>
    </w:p>
    <w:p w14:paraId="09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  <w:u w:color="000000" w:val="single"/>
        </w:rPr>
        <w:t>расходы по иным межбюджетным трансфертам</w:t>
      </w:r>
      <w:r>
        <w:rPr>
          <w:sz w:val="28"/>
        </w:rPr>
        <w:t xml:space="preserve"> составили в сумме 74,3 тыс. рублей, план исполнен на 100,0%. Средства направлены на передачу полномочий по внутреннему муниципальному финансовому контролю в Администрацию Куйбышев</w:t>
      </w:r>
      <w:r>
        <w:rPr>
          <w:sz w:val="28"/>
        </w:rPr>
        <w:t>ского района.</w:t>
      </w:r>
    </w:p>
    <w:p w14:paraId="0A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3.4. </w:t>
      </w:r>
      <w:r>
        <w:rPr>
          <w:sz w:val="28"/>
          <w:u w:color="000000" w:val="single"/>
        </w:rPr>
        <w:t>прочие  расходы</w:t>
      </w:r>
      <w:r>
        <w:rPr>
          <w:sz w:val="28"/>
        </w:rPr>
        <w:t xml:space="preserve"> в сумме 20,0 тыс. рублей. Средства направлены на уплату членских взносов в СМО РО.</w:t>
      </w:r>
    </w:p>
    <w:p w14:paraId="0B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3.5. </w:t>
      </w:r>
      <w:r>
        <w:rPr>
          <w:sz w:val="28"/>
          <w:u w:color="000000" w:val="single"/>
        </w:rPr>
        <w:t>прочие  расходы</w:t>
      </w:r>
      <w:r>
        <w:rPr>
          <w:sz w:val="28"/>
        </w:rPr>
        <w:t xml:space="preserve"> в сумме 19,4 тыс. рублей. Средства направлены на приобретение венков к мероприятиям памяти времен ВОВ.  </w:t>
      </w:r>
    </w:p>
    <w:p w14:paraId="0C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u w:val="single"/>
        </w:rPr>
        <w:t>Расходы</w:t>
      </w:r>
      <w:r>
        <w:rPr>
          <w:sz w:val="28"/>
          <w:u w:val="single"/>
        </w:rPr>
        <w:t xml:space="preserve"> на приведение состояния зданий в соотв</w:t>
      </w:r>
      <w:r>
        <w:rPr>
          <w:sz w:val="28"/>
        </w:rPr>
        <w:t>етствие с требованиями строительных норм по обеспечению их доступности для инвалидов, в сумме 1,9 тыс. рублей, годовой план исполнен на 95,1 %, средства направлены на ремонт кнопки вызова.</w:t>
      </w:r>
    </w:p>
    <w:p w14:paraId="0D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3.7. </w:t>
      </w:r>
      <w:r>
        <w:rPr>
          <w:sz w:val="28"/>
          <w:u w:val="single"/>
        </w:rPr>
        <w:t xml:space="preserve">Расходы на мероприятия </w:t>
      </w:r>
      <w:r>
        <w:rPr>
          <w:sz w:val="28"/>
          <w:u w:val="single"/>
        </w:rPr>
        <w:t>по усилению антитеррористическ</w:t>
      </w:r>
      <w:r>
        <w:rPr>
          <w:sz w:val="28"/>
        </w:rPr>
        <w:t>ой защищённости объектов социального назначения в сумме 2,0 тыс. рублей, план года исполнен на 100,0%, средства направлены на приобретение стенда.</w:t>
      </w:r>
    </w:p>
    <w:p w14:paraId="0E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3.8. </w:t>
      </w:r>
      <w:r>
        <w:rPr>
          <w:sz w:val="28"/>
          <w:u w:val="single"/>
        </w:rPr>
        <w:t>Расходы по оценке муниципального имущества</w:t>
      </w:r>
      <w:r>
        <w:rPr>
          <w:sz w:val="28"/>
        </w:rPr>
        <w:t>, признание прав и регулирование отношений по муниципальной собственности составили в сумме 7,0 тыс. рублей, план исполнен на 100,0%. Расходы направлены на проведение оценки муниципального имущества.</w:t>
      </w:r>
    </w:p>
    <w:p w14:paraId="0F040000">
      <w:pPr>
        <w:ind w:firstLine="851" w:left="0"/>
        <w:jc w:val="both"/>
        <w:rPr>
          <w:sz w:val="28"/>
        </w:rPr>
      </w:pPr>
      <w:r>
        <w:rPr>
          <w:sz w:val="28"/>
        </w:rPr>
        <w:t> </w:t>
      </w:r>
    </w:p>
    <w:p w14:paraId="10040000">
      <w:pPr>
        <w:ind w:firstLine="900" w:left="0"/>
        <w:jc w:val="center"/>
        <w:rPr>
          <w:sz w:val="28"/>
        </w:rPr>
      </w:pPr>
      <w:r>
        <w:rPr>
          <w:sz w:val="28"/>
        </w:rPr>
        <w:t>НАЦИОНАЛЬНАЯ  ОБОРОНА</w:t>
      </w:r>
    </w:p>
    <w:p w14:paraId="1104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Расходы на осуществление первич</w:t>
      </w:r>
      <w:r>
        <w:rPr>
          <w:sz w:val="28"/>
          <w:u w:val="single"/>
        </w:rPr>
        <w:t>ного воинского учета</w:t>
      </w:r>
      <w:r>
        <w:rPr>
          <w:sz w:val="28"/>
        </w:rPr>
        <w:t xml:space="preserve"> на территориях, где отсутствуют военные комиссариаты в сумме 255,4 тыс. рублей, план исполнен на 100,0% (средства израсходованы на выплату заработной платы и начислений по оплате труда, приобретение канцелярских товаров в сумме 5,9 тыс</w:t>
      </w:r>
      <w:r>
        <w:rPr>
          <w:sz w:val="28"/>
        </w:rPr>
        <w:t>. рублей).</w:t>
      </w:r>
    </w:p>
    <w:p w14:paraId="12040000">
      <w:pPr>
        <w:ind w:firstLine="900" w:left="0"/>
        <w:jc w:val="both"/>
        <w:rPr>
          <w:sz w:val="28"/>
        </w:rPr>
      </w:pPr>
    </w:p>
    <w:p w14:paraId="13040000">
      <w:pPr>
        <w:ind w:firstLine="900" w:left="0"/>
        <w:jc w:val="center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</w:t>
      </w:r>
    </w:p>
    <w:p w14:paraId="14040000">
      <w:pPr>
        <w:ind w:firstLine="900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u w:val="single"/>
        </w:rPr>
        <w:t>асходы направлены на обеспечение мероприятий пожарной безопасности</w:t>
      </w:r>
      <w:r>
        <w:rPr>
          <w:sz w:val="28"/>
        </w:rPr>
        <w:t xml:space="preserve"> в сумме 29.8 тыс. рублей, план исполнен на 99,3 % (средства израсходованы на противопожарную опашку территории).</w:t>
      </w:r>
    </w:p>
    <w:p w14:paraId="15040000">
      <w:pPr>
        <w:ind w:firstLine="900" w:left="0"/>
        <w:jc w:val="both"/>
        <w:rPr>
          <w:sz w:val="28"/>
        </w:rPr>
      </w:pPr>
    </w:p>
    <w:p w14:paraId="16040000">
      <w:pPr>
        <w:ind w:firstLine="900" w:left="0"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>ЦИОНАЛЬНАЯ ЭКОНОМИКА</w:t>
      </w:r>
    </w:p>
    <w:p w14:paraId="17040000">
      <w:pPr>
        <w:ind w:firstLine="900" w:left="0"/>
        <w:jc w:val="both"/>
        <w:rPr>
          <w:sz w:val="28"/>
        </w:rPr>
      </w:pPr>
      <w:r>
        <w:rPr>
          <w:sz w:val="28"/>
        </w:rPr>
        <w:t>Расходы по оценке муниципального имущества, признание прав и регулирование отношений по муниципальной собственности составили в сумме 5,0 тыс. рублей, план исполнен на 100,0%. Расходы направлены на образование земельного участка.</w:t>
      </w:r>
    </w:p>
    <w:p w14:paraId="18040000">
      <w:pPr>
        <w:ind w:firstLine="900" w:left="0"/>
        <w:jc w:val="both"/>
        <w:rPr>
          <w:sz w:val="28"/>
        </w:rPr>
      </w:pPr>
    </w:p>
    <w:p w14:paraId="19040000">
      <w:pPr>
        <w:ind w:firstLine="900" w:left="0"/>
        <w:jc w:val="center"/>
        <w:rPr>
          <w:sz w:val="28"/>
        </w:rPr>
      </w:pPr>
      <w:r>
        <w:rPr>
          <w:sz w:val="28"/>
        </w:rPr>
        <w:t>ЖИЛИ</w:t>
      </w:r>
      <w:r>
        <w:rPr>
          <w:sz w:val="28"/>
        </w:rPr>
        <w:t>ЩНО-КОММУНАЛЬНОЕ ХОЗЯЙСТВО</w:t>
      </w:r>
    </w:p>
    <w:p w14:paraId="1A040000">
      <w:pPr>
        <w:ind w:firstLine="850" w:left="0"/>
        <w:jc w:val="both"/>
        <w:rPr>
          <w:sz w:val="28"/>
        </w:rPr>
      </w:pPr>
      <w:r>
        <w:rPr>
          <w:sz w:val="28"/>
        </w:rPr>
        <w:t>Расходы составили в сумме 2 110,2 тыс. рублей, план исполнен на 85,4 %.</w:t>
      </w:r>
    </w:p>
    <w:p w14:paraId="1B040000">
      <w:pPr>
        <w:ind w:firstLine="851" w:left="0"/>
        <w:jc w:val="center"/>
        <w:rPr>
          <w:sz w:val="28"/>
        </w:rPr>
      </w:pPr>
    </w:p>
    <w:p w14:paraId="1C04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Коммунальное хозяйство</w:t>
      </w:r>
      <w:r>
        <w:rPr>
          <w:sz w:val="28"/>
        </w:rPr>
        <w:t xml:space="preserve"> </w:t>
      </w:r>
    </w:p>
    <w:p w14:paraId="1D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Содержание и ремонт газового хозяйства</w:t>
      </w:r>
      <w:r>
        <w:rPr>
          <w:sz w:val="28"/>
        </w:rPr>
        <w:t xml:space="preserve"> </w:t>
      </w:r>
      <w:r>
        <w:rPr>
          <w:sz w:val="28"/>
        </w:rPr>
        <w:t>в сумме 6,0 тыс. рублей, годовой план исполнен на 100,0, расхода направлены на техническое обслуживание и ремонту объектов газового хозяйства в х. Карташево.</w:t>
      </w:r>
    </w:p>
    <w:p w14:paraId="1E040000">
      <w:pPr>
        <w:ind w:firstLine="851" w:left="0"/>
        <w:jc w:val="center"/>
        <w:rPr>
          <w:sz w:val="28"/>
        </w:rPr>
      </w:pPr>
    </w:p>
    <w:p w14:paraId="1F04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По разделу </w:t>
      </w:r>
      <w:r>
        <w:rPr>
          <w:sz w:val="28"/>
          <w:u w:val="single"/>
        </w:rPr>
        <w:t>Благоустройство</w:t>
      </w:r>
      <w:r>
        <w:rPr>
          <w:sz w:val="28"/>
        </w:rPr>
        <w:t xml:space="preserve"> в сумме 2 104,2 тыс. рублей из них: </w:t>
      </w:r>
    </w:p>
    <w:p w14:paraId="2004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Расходы по обеспечению мероприяти</w:t>
      </w:r>
      <w:r>
        <w:rPr>
          <w:sz w:val="28"/>
          <w:u w:val="single"/>
        </w:rPr>
        <w:t>й по формированию  современной городской среды в части  благоустройства  общественных территорий</w:t>
      </w:r>
      <w:r>
        <w:rPr>
          <w:sz w:val="28"/>
        </w:rPr>
        <w:t xml:space="preserve"> составили </w:t>
      </w:r>
      <w:r>
        <w:rPr>
          <w:sz w:val="28"/>
        </w:rPr>
        <w:t>в сумме 357,3 тыс. рублей, план исполнен на 100,0%. Расходы направлены на ремонт игрового комплекса и приобретение 62 саженцев деревьев для благоустр</w:t>
      </w:r>
      <w:r>
        <w:rPr>
          <w:sz w:val="28"/>
        </w:rPr>
        <w:t>ойства общественной территории в с. Миллерово</w:t>
      </w:r>
    </w:p>
    <w:p w14:paraId="21040000">
      <w:pPr>
        <w:ind w:firstLine="851" w:left="0"/>
        <w:jc w:val="both"/>
        <w:rPr>
          <w:sz w:val="28"/>
        </w:rPr>
      </w:pPr>
      <w:r>
        <w:rPr>
          <w:sz w:val="28"/>
          <w:u w:color="000000" w:val="single"/>
        </w:rPr>
        <w:t>Расходы по содержанию памятников и кладбищ</w:t>
      </w:r>
      <w:r>
        <w:rPr>
          <w:sz w:val="28"/>
        </w:rPr>
        <w:t xml:space="preserve"> в сумме 181,5 тыс. рублей, план исполнен на 99,9 % (приобретение стройматериалов 64,7 тыс. рублей, приобретение мемориальных знаков – 13,4 тыс. рублей, акарицидная обр</w:t>
      </w:r>
      <w:r>
        <w:rPr>
          <w:sz w:val="28"/>
        </w:rPr>
        <w:t>аботка кладбищ -13,3 тыс. рублей, обкос территории – 18,1 тыс. рублей, вывоз несанкционированных свалок -72,0 тыс. рублей, );</w:t>
      </w:r>
    </w:p>
    <w:p w14:paraId="22040000">
      <w:pPr>
        <w:ind w:firstLine="851" w:left="0"/>
        <w:jc w:val="both"/>
        <w:rPr>
          <w:sz w:val="28"/>
        </w:rPr>
      </w:pPr>
      <w:r>
        <w:rPr>
          <w:sz w:val="28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sz w:val="28"/>
        </w:rPr>
        <w:t xml:space="preserve"> в сумме 104,4 тыс. рублей, план года исполнен</w:t>
      </w:r>
      <w:r>
        <w:rPr>
          <w:sz w:val="28"/>
        </w:rPr>
        <w:t xml:space="preserve"> на 99,9%, (спил и обрезка деревьев 25,0 тыс. рублей, текущий ремонт спортивной площадки в х. Новая Надежда, Юбилейная 13а 64,0 тыс. рублей, изготовление паспорта отходов 13,8 тыс. рублей, стройматериалы 1,5 тыс. рублей);</w:t>
      </w:r>
    </w:p>
    <w:p w14:paraId="23040000">
      <w:pPr>
        <w:ind w:firstLine="851" w:left="0"/>
        <w:jc w:val="both"/>
        <w:rPr>
          <w:sz w:val="28"/>
        </w:rPr>
      </w:pPr>
      <w:r>
        <w:rPr>
          <w:sz w:val="28"/>
          <w:u w:color="000000" w:val="single"/>
        </w:rPr>
        <w:t xml:space="preserve">Расходы по содержанию и оплата за </w:t>
      </w:r>
      <w:r>
        <w:rPr>
          <w:sz w:val="28"/>
          <w:u w:color="000000" w:val="single"/>
        </w:rPr>
        <w:t>электроэнергию уличного освещения</w:t>
      </w:r>
      <w:r>
        <w:rPr>
          <w:sz w:val="28"/>
        </w:rPr>
        <w:t xml:space="preserve"> в сумме 1 300,0 тыс. рублей, план года исполнен на 78,3%, (оплата электроэнергии уличного освещения  – 944,3 тыс. рублей, оплата за содержание уличного освещения 355,7 тыс. рублей).</w:t>
      </w:r>
    </w:p>
    <w:p w14:paraId="24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Расходы на мероприятия по замене ламп на</w:t>
      </w:r>
      <w:r>
        <w:rPr>
          <w:sz w:val="28"/>
          <w:u w:val="single"/>
        </w:rPr>
        <w:t>каливания</w:t>
      </w:r>
      <w:r>
        <w:rPr>
          <w:sz w:val="28"/>
        </w:rPr>
        <w:t xml:space="preserve"> и других неэффективных элементов систем освещения, в том числе светильников, на энергосберегающие в сумме 10,0 тыс. рублей, план года исполнен на 100,0%, Расходы направлены на замену энергосберегающих ламп.</w:t>
      </w:r>
    </w:p>
    <w:p w14:paraId="2504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Расходы на иные межбюджетные трансферты</w:t>
      </w:r>
      <w:r>
        <w:rPr>
          <w:sz w:val="28"/>
          <w:u w:val="single"/>
        </w:rPr>
        <w:t xml:space="preserve"> передаваемые другим бюджетам</w:t>
      </w:r>
      <w:r>
        <w:rPr>
          <w:sz w:val="28"/>
        </w:rPr>
        <w:t xml:space="preserve"> в сумме 1,0 тыс. рублей, план года исполнен на 100,0%, Расходы направлены на передачу полномочий Администрации Куйбышевского района по организации ритуальных услуг.</w:t>
      </w:r>
    </w:p>
    <w:p w14:paraId="2604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Расходы на иные межбюджетные трансферты за счет средств резер</w:t>
      </w:r>
      <w:r>
        <w:rPr>
          <w:sz w:val="28"/>
          <w:u w:val="single"/>
        </w:rPr>
        <w:t>вного фонда Правительства Ростовской области</w:t>
      </w:r>
      <w:r>
        <w:rPr>
          <w:sz w:val="28"/>
        </w:rPr>
        <w:t xml:space="preserve"> в сумме 150,0 тыс. рублей, план года исполнен на 100,0%, Расходы направлены на</w:t>
      </w:r>
      <w:r>
        <w:rPr>
          <w:sz w:val="28"/>
        </w:rPr>
        <w:t xml:space="preserve"> </w:t>
      </w:r>
      <w:r>
        <w:rPr>
          <w:sz w:val="28"/>
        </w:rPr>
        <w:t xml:space="preserve">приобретение уличных светильников ЭРА с кронштейном (40 штук) для последующей установки по адресу: Ростовская область, Куйбышевский </w:t>
      </w:r>
      <w:r>
        <w:rPr>
          <w:sz w:val="28"/>
        </w:rPr>
        <w:t>район, с. Миллерово, ул. Ярового, 30.</w:t>
      </w:r>
    </w:p>
    <w:p w14:paraId="27040000">
      <w:pPr>
        <w:ind w:firstLine="851" w:left="0"/>
        <w:jc w:val="center"/>
        <w:rPr>
          <w:sz w:val="28"/>
        </w:rPr>
      </w:pPr>
      <w:r>
        <w:rPr>
          <w:sz w:val="28"/>
        </w:rPr>
        <w:t>ОХРАНА ОКРУЖАЮЩЕЙ СРЕДЫ</w:t>
      </w:r>
    </w:p>
    <w:p w14:paraId="28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направлены на комплексные услуги по обращению с ртутьсодержащими отходами в сумме 31,1 тыс. рублей, план года исполнен на 100,0 % (сбор и удаление ртуть содержащих отходов).</w:t>
      </w:r>
    </w:p>
    <w:p w14:paraId="29040000">
      <w:pPr>
        <w:ind w:firstLine="851" w:left="0"/>
        <w:jc w:val="both"/>
        <w:rPr>
          <w:sz w:val="28"/>
        </w:rPr>
      </w:pPr>
    </w:p>
    <w:p w14:paraId="2A040000">
      <w:pPr>
        <w:ind w:firstLine="851" w:left="0"/>
        <w:jc w:val="center"/>
        <w:rPr>
          <w:sz w:val="28"/>
        </w:rPr>
      </w:pPr>
      <w:r>
        <w:rPr>
          <w:sz w:val="28"/>
        </w:rPr>
        <w:t>ОБРАЗОВАНИЕ</w:t>
      </w:r>
    </w:p>
    <w:p w14:paraId="2B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повышение квалификации в сумме 10,0 тыс. рублей, план года исполнен на 100,0%. Обучение прошли 2 сотрудника программе гражданская оборона, защита населения от чрезвычайных ситуаций природного и техногенного характера.</w:t>
      </w:r>
    </w:p>
    <w:p w14:paraId="2C040000">
      <w:pPr>
        <w:ind w:firstLine="851" w:left="0"/>
        <w:jc w:val="both"/>
        <w:rPr>
          <w:sz w:val="28"/>
        </w:rPr>
      </w:pPr>
    </w:p>
    <w:p w14:paraId="2D040000">
      <w:pPr>
        <w:ind w:firstLine="851" w:left="0"/>
        <w:jc w:val="center"/>
        <w:rPr>
          <w:sz w:val="28"/>
        </w:rPr>
      </w:pPr>
      <w:r>
        <w:rPr>
          <w:sz w:val="28"/>
        </w:rPr>
        <w:t>КУЛЬТУРА, КИНЕМАТОГРАФИЯ</w:t>
      </w:r>
    </w:p>
    <w:p w14:paraId="2E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Бюджетные средства израсходованы в сумме 11 659,6 тыс. рублей, план года исполнен на 100,0 %, средства направлены на предоставление </w:t>
      </w:r>
      <w:r>
        <w:rPr>
          <w:sz w:val="28"/>
          <w:u w:color="000000" w:val="single"/>
        </w:rPr>
        <w:t>субсидии МУК ЦКС К-ЛСП</w:t>
      </w:r>
      <w:r>
        <w:rPr>
          <w:sz w:val="28"/>
        </w:rPr>
        <w:t xml:space="preserve"> </w:t>
      </w:r>
      <w:r>
        <w:rPr>
          <w:sz w:val="28"/>
          <w:u w:color="000000" w:val="single"/>
        </w:rPr>
        <w:t>на выполнение муниципального задани</w:t>
      </w:r>
      <w:r>
        <w:rPr>
          <w:sz w:val="28"/>
        </w:rPr>
        <w:t>я (расходы на заработную плату с начислениями в сумме 7 358,8 тыс.</w:t>
      </w:r>
      <w:r>
        <w:rPr>
          <w:sz w:val="28"/>
        </w:rPr>
        <w:t xml:space="preserve"> рублей, оплата  коммунальных расходов в сумме 3 905,3 тыс. рублей, услуги связи в сумме 48,2 тыс. рублей; ГСМ в сумме 22,6 тыс. рублей, услуги по содержанию имущества в сумме 150,5 тыс. рублей, приобретение угля 81,8 тыс. рублей, уплата налогов -21,4 тыс.</w:t>
      </w:r>
      <w:r>
        <w:rPr>
          <w:sz w:val="28"/>
        </w:rPr>
        <w:t xml:space="preserve"> рублей).</w:t>
      </w:r>
    </w:p>
    <w:p w14:paraId="2F040000">
      <w:pPr>
        <w:ind w:firstLine="851" w:left="0"/>
        <w:jc w:val="both"/>
        <w:rPr>
          <w:sz w:val="28"/>
        </w:rPr>
      </w:pPr>
    </w:p>
    <w:p w14:paraId="30040000">
      <w:pPr>
        <w:ind w:firstLine="851" w:left="0"/>
        <w:jc w:val="center"/>
        <w:rPr>
          <w:sz w:val="28"/>
        </w:rPr>
      </w:pPr>
      <w:r>
        <w:rPr>
          <w:sz w:val="28"/>
        </w:rPr>
        <w:t>СОЦИАЛЬНАЯ ПОЛИТИКА</w:t>
      </w:r>
    </w:p>
    <w:p w14:paraId="31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154,0 тыс. рублей, план года исполнен на 99,9 %.</w:t>
      </w:r>
    </w:p>
    <w:p w14:paraId="32040000">
      <w:pPr>
        <w:ind w:firstLine="851" w:left="0"/>
        <w:jc w:val="both"/>
        <w:rPr>
          <w:sz w:val="28"/>
        </w:rPr>
      </w:pPr>
    </w:p>
    <w:p w14:paraId="33040000">
      <w:pPr>
        <w:ind w:firstLine="851" w:left="0"/>
        <w:jc w:val="center"/>
        <w:rPr>
          <w:sz w:val="28"/>
        </w:rPr>
      </w:pPr>
      <w:r>
        <w:rPr>
          <w:sz w:val="28"/>
        </w:rPr>
        <w:t>ФИЗИЧЕСКАЯ КУЛЬТУРА И СПОРТ</w:t>
      </w:r>
    </w:p>
    <w:p w14:paraId="34040000">
      <w:pPr>
        <w:ind w:firstLine="851" w:left="0"/>
        <w:jc w:val="both"/>
        <w:rPr>
          <w:sz w:val="28"/>
        </w:rPr>
      </w:pPr>
      <w:r>
        <w:rPr>
          <w:sz w:val="28"/>
        </w:rPr>
        <w:t>Расходы на ф</w:t>
      </w:r>
      <w:r>
        <w:rPr>
          <w:sz w:val="28"/>
        </w:rPr>
        <w:t>изическое воспитание,  обеспечение организации и проведения физкультурных мероприятий и спортивных мероприятий в сумме 9,4 тыс. рублей, план года исполнен на 100,0%. (приобретение спортивного инвентаря (ракетки 10 шт. и шары для настольного тенниса, резино</w:t>
      </w:r>
      <w:r>
        <w:rPr>
          <w:sz w:val="28"/>
        </w:rPr>
        <w:t>вые спортивные шары 3 шт.)).</w:t>
      </w:r>
    </w:p>
    <w:p w14:paraId="35040000">
      <w:pPr>
        <w:ind w:firstLine="851" w:left="0"/>
        <w:jc w:val="both"/>
        <w:rPr>
          <w:sz w:val="28"/>
        </w:rPr>
      </w:pPr>
    </w:p>
    <w:p w14:paraId="36040000">
      <w:pPr>
        <w:ind/>
        <w:jc w:val="both"/>
        <w:rPr>
          <w:sz w:val="28"/>
        </w:rPr>
      </w:pPr>
      <w:r>
        <w:rPr>
          <w:sz w:val="28"/>
        </w:rPr>
        <w:t>Заведующий сектором экономики и финансов                                    М.Н.Билая</w:t>
      </w:r>
    </w:p>
    <w:sectPr>
      <w:pgSz w:h="16848" w:orient="portrait" w:w="11908"/>
      <w:pgMar w:bottom="794" w:footer="709" w:gutter="0" w:header="709" w:left="1531" w:right="850" w:top="10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9" w:type="paragraph">
    <w:name w:val="Гиперссылка3"/>
    <w:link w:val="Style_9_ch"/>
    <w:rPr>
      <w:color w:val="0000FF"/>
      <w:u w:val="single"/>
    </w:rPr>
  </w:style>
  <w:style w:styleId="Style_9_ch" w:type="character">
    <w:name w:val="Гиперссылка3"/>
    <w:link w:val="Style_9"/>
    <w:rPr>
      <w:color w:val="0000FF"/>
      <w:u w:val="single"/>
    </w:rPr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toc 2"/>
    <w:next w:val="Style_8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Номер страницы1"/>
    <w:basedOn w:val="Style_14"/>
    <w:link w:val="Style_13_ch"/>
  </w:style>
  <w:style w:styleId="Style_13_ch" w:type="character">
    <w:name w:val="Номер страницы1"/>
    <w:basedOn w:val="Style_14_ch"/>
    <w:link w:val="Style_13"/>
  </w:style>
  <w:style w:styleId="Style_15" w:type="paragraph">
    <w:name w:val="Основной текст с отступом 22"/>
    <w:basedOn w:val="Style_8"/>
    <w:link w:val="Style_15_ch"/>
    <w:pPr>
      <w:widowControl w:val="0"/>
      <w:spacing w:after="120" w:line="480" w:lineRule="auto"/>
      <w:ind w:firstLine="0" w:left="283"/>
      <w:jc w:val="center"/>
    </w:pPr>
  </w:style>
  <w:style w:styleId="Style_15_ch" w:type="character">
    <w:name w:val="Основной текст с отступом 22"/>
    <w:basedOn w:val="Style_8_ch"/>
    <w:link w:val="Style_15"/>
  </w:style>
  <w:style w:styleId="Style_16" w:type="paragraph">
    <w:name w:val="toc 4"/>
    <w:next w:val="Style_8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pre"/>
    <w:link w:val="Style_17_ch"/>
  </w:style>
  <w:style w:styleId="Style_17_ch" w:type="character">
    <w:name w:val="pre"/>
    <w:link w:val="Style_17"/>
  </w:style>
  <w:style w:styleId="Style_18" w:type="paragraph">
    <w:name w:val="Знак"/>
    <w:basedOn w:val="Style_8"/>
    <w:link w:val="Style_1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8_ch" w:type="character">
    <w:name w:val="Знак"/>
    <w:basedOn w:val="Style_8_ch"/>
    <w:link w:val="Style_18"/>
    <w:rPr>
      <w:rFonts w:ascii="Verdana" w:hAnsi="Verdana"/>
      <w:sz w:val="20"/>
    </w:rPr>
  </w:style>
  <w:style w:styleId="Style_19" w:type="paragraph">
    <w:name w:val="Body Text 2"/>
    <w:basedOn w:val="Style_8"/>
    <w:link w:val="Style_19_ch"/>
    <w:pPr>
      <w:spacing w:after="120" w:line="480" w:lineRule="auto"/>
      <w:ind/>
    </w:pPr>
  </w:style>
  <w:style w:styleId="Style_19_ch" w:type="character">
    <w:name w:val="Body Text 2"/>
    <w:basedOn w:val="Style_8_ch"/>
    <w:link w:val="Style_19"/>
  </w:style>
  <w:style w:styleId="Style_20" w:type="paragraph">
    <w:name w:val="toc 6"/>
    <w:next w:val="Style_8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сновной шрифт абзаца4"/>
    <w:link w:val="Style_21_ch"/>
  </w:style>
  <w:style w:styleId="Style_21_ch" w:type="character">
    <w:name w:val="Основной шрифт абзаца4"/>
    <w:link w:val="Style_21"/>
  </w:style>
  <w:style w:styleId="Style_22" w:type="paragraph">
    <w:name w:val="toc 7"/>
    <w:next w:val="Style_8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24" w:type="paragraph">
    <w:name w:val="subheader"/>
    <w:basedOn w:val="Style_8"/>
    <w:link w:val="Style_24_ch"/>
    <w:pPr>
      <w:spacing w:after="75" w:before="150"/>
      <w:ind/>
    </w:pPr>
    <w:rPr>
      <w:rFonts w:ascii="Arial" w:hAnsi="Arial"/>
      <w:b w:val="1"/>
      <w:sz w:val="18"/>
    </w:rPr>
  </w:style>
  <w:style w:styleId="Style_24_ch" w:type="character">
    <w:name w:val="subheader"/>
    <w:basedOn w:val="Style_8_ch"/>
    <w:link w:val="Style_24"/>
    <w:rPr>
      <w:rFonts w:ascii="Arial" w:hAnsi="Arial"/>
      <w:b w:val="1"/>
      <w:sz w:val="18"/>
    </w:rPr>
  </w:style>
  <w:style w:styleId="Style_25" w:type="paragraph">
    <w:name w:val="heading 3"/>
    <w:next w:val="Style_8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28" w:type="paragraph">
    <w:name w:val="header"/>
    <w:basedOn w:val="Style_8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8_ch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ConsPlusNormal"/>
    <w:link w:val="Style_30_ch"/>
    <w:pPr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Body Text"/>
    <w:basedOn w:val="Style_8"/>
    <w:link w:val="Style_31_ch"/>
    <w:pPr>
      <w:spacing w:after="120"/>
      <w:ind/>
    </w:pPr>
  </w:style>
  <w:style w:styleId="Style_31_ch" w:type="character">
    <w:name w:val="Body Text"/>
    <w:basedOn w:val="Style_8_ch"/>
    <w:link w:val="Style_31"/>
  </w:style>
  <w:style w:styleId="Style_32" w:type="paragraph">
    <w:name w:val="Знак Знак Знак1 Знак Знак Знак Знак"/>
    <w:basedOn w:val="Style_8"/>
    <w:link w:val="Style_3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2_ch" w:type="character">
    <w:name w:val="Знак Знак Знак1 Знак Знак Знак Знак"/>
    <w:basedOn w:val="Style_8_ch"/>
    <w:link w:val="Style_32"/>
    <w:rPr>
      <w:rFonts w:ascii="Tahoma" w:hAnsi="Tahoma"/>
      <w:sz w:val="20"/>
    </w:rPr>
  </w:style>
  <w:style w:styleId="Style_33" w:type="paragraph">
    <w:name w:val="Знак1"/>
    <w:basedOn w:val="Style_8"/>
    <w:link w:val="Style_33_ch"/>
    <w:pPr>
      <w:spacing w:after="160" w:line="240" w:lineRule="exact"/>
      <w:ind/>
    </w:pPr>
    <w:rPr>
      <w:rFonts w:ascii="Verdana" w:hAnsi="Verdana"/>
      <w:sz w:val="20"/>
    </w:rPr>
  </w:style>
  <w:style w:styleId="Style_33_ch" w:type="character">
    <w:name w:val="Знак1"/>
    <w:basedOn w:val="Style_8_ch"/>
    <w:link w:val="Style_33"/>
    <w:rPr>
      <w:rFonts w:ascii="Verdana" w:hAnsi="Verdana"/>
      <w:sz w:val="20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Знак Знак3 Знак Знак Знак Знак"/>
    <w:basedOn w:val="Style_8"/>
    <w:link w:val="Style_3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5_ch" w:type="character">
    <w:name w:val="Знак Знак3 Знак Знак Знак Знак"/>
    <w:basedOn w:val="Style_8_ch"/>
    <w:link w:val="Style_35"/>
    <w:rPr>
      <w:rFonts w:ascii="Verdana" w:hAnsi="Verdana"/>
      <w:sz w:val="20"/>
    </w:rPr>
  </w:style>
  <w:style w:styleId="Style_36" w:type="paragraph">
    <w:name w:val="toc 3"/>
    <w:next w:val="Style_8"/>
    <w:link w:val="Style_36_ch"/>
    <w:uiPriority w:val="39"/>
    <w:pPr>
      <w:ind w:firstLine="0" w:left="400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b w:val="1"/>
      <w:sz w:val="24"/>
    </w:rPr>
  </w:style>
  <w:style w:styleId="Style_6_ch" w:type="character">
    <w:name w:val="ConsPlusTitle"/>
    <w:link w:val="Style_6"/>
    <w:rPr>
      <w:b w:val="1"/>
      <w:sz w:val="24"/>
    </w:rPr>
  </w:style>
  <w:style w:styleId="Style_37" w:type="paragraph">
    <w:name w:val="Знак Знак10 Знак Знак Знак Знак Знак Знак Знак Знак"/>
    <w:basedOn w:val="Style_8"/>
    <w:link w:val="Style_37_ch"/>
    <w:pPr>
      <w:spacing w:after="160" w:line="240" w:lineRule="exact"/>
      <w:ind/>
    </w:pPr>
    <w:rPr>
      <w:rFonts w:ascii="Verdana" w:hAnsi="Verdana"/>
      <w:sz w:val="20"/>
    </w:rPr>
  </w:style>
  <w:style w:styleId="Style_37_ch" w:type="character">
    <w:name w:val="Знак Знак10 Знак Знак Знак Знак Знак Знак Знак Знак"/>
    <w:basedOn w:val="Style_8_ch"/>
    <w:link w:val="Style_37"/>
    <w:rPr>
      <w:rFonts w:ascii="Verdana" w:hAnsi="Verdana"/>
      <w:sz w:val="20"/>
    </w:rPr>
  </w:style>
  <w:style w:styleId="Style_38" w:type="paragraph">
    <w:name w:val="Гиперссылка2"/>
    <w:link w:val="Style_38_ch"/>
    <w:rPr>
      <w:color w:val="0000FF"/>
      <w:u w:val="single"/>
    </w:rPr>
  </w:style>
  <w:style w:styleId="Style_38_ch" w:type="character">
    <w:name w:val="Гиперссылка2"/>
    <w:link w:val="Style_38"/>
    <w:rPr>
      <w:color w:val="0000FF"/>
      <w:u w:val="single"/>
    </w:rPr>
  </w:style>
  <w:style w:styleId="Style_39" w:type="paragraph">
    <w:name w:val="Body Text Indent 3"/>
    <w:basedOn w:val="Style_8"/>
    <w:link w:val="Style_39_ch"/>
    <w:pPr>
      <w:spacing w:after="120"/>
      <w:ind w:firstLine="0" w:left="283"/>
    </w:pPr>
    <w:rPr>
      <w:sz w:val="16"/>
    </w:rPr>
  </w:style>
  <w:style w:styleId="Style_39_ch" w:type="character">
    <w:name w:val="Body Text Indent 3"/>
    <w:basedOn w:val="Style_8_ch"/>
    <w:link w:val="Style_39"/>
    <w:rPr>
      <w:sz w:val="16"/>
    </w:rPr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40" w:type="paragraph">
    <w:name w:val="Без интервала1"/>
    <w:link w:val="Style_40_ch"/>
    <w:rPr>
      <w:rFonts w:ascii="Calibri" w:hAnsi="Calibri"/>
      <w:sz w:val="22"/>
    </w:rPr>
  </w:style>
  <w:style w:styleId="Style_40_ch" w:type="character">
    <w:name w:val="Без интервала1"/>
    <w:link w:val="Style_40"/>
    <w:rPr>
      <w:rFonts w:ascii="Calibri" w:hAnsi="Calibri"/>
      <w:sz w:val="22"/>
    </w:rPr>
  </w:style>
  <w:style w:styleId="Style_41" w:type="paragraph">
    <w:name w:val="heading 5"/>
    <w:next w:val="Style_8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5_ch" w:type="character">
    <w:name w:val="heading 1"/>
    <w:basedOn w:val="Style_8_ch"/>
    <w:link w:val="Style_5"/>
    <w:rPr>
      <w:rFonts w:ascii="Arial" w:hAnsi="Arial"/>
      <w:b w:val="1"/>
      <w:sz w:val="32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42" w:type="paragraph">
    <w:name w:val="Обычный1"/>
    <w:link w:val="Style_42_ch"/>
    <w:rPr>
      <w:sz w:val="24"/>
    </w:rPr>
  </w:style>
  <w:style w:styleId="Style_42_ch" w:type="character">
    <w:name w:val="Обычный1"/>
    <w:link w:val="Style_42"/>
    <w:rPr>
      <w:sz w:val="24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heading 8"/>
    <w:basedOn w:val="Style_8"/>
    <w:next w:val="Style_8"/>
    <w:link w:val="Style_45_ch"/>
    <w:uiPriority w:val="9"/>
    <w:qFormat/>
    <w:pPr>
      <w:spacing w:after="60" w:before="240"/>
      <w:ind/>
      <w:outlineLvl w:val="7"/>
    </w:pPr>
    <w:rPr>
      <w:i w:val="1"/>
    </w:rPr>
  </w:style>
  <w:style w:styleId="Style_45_ch" w:type="character">
    <w:name w:val="heading 8"/>
    <w:basedOn w:val="Style_8_ch"/>
    <w:link w:val="Style_45"/>
    <w:rPr>
      <w:i w:val="1"/>
    </w:rPr>
  </w:style>
  <w:style w:styleId="Style_46" w:type="paragraph">
    <w:name w:val="toc 1"/>
    <w:next w:val="Style_8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Body Text 3"/>
    <w:basedOn w:val="Style_8"/>
    <w:link w:val="Style_47_ch"/>
    <w:pPr>
      <w:spacing w:after="120"/>
      <w:ind/>
    </w:pPr>
    <w:rPr>
      <w:sz w:val="16"/>
    </w:rPr>
  </w:style>
  <w:style w:styleId="Style_47_ch" w:type="character">
    <w:name w:val="Body Text 3"/>
    <w:basedOn w:val="Style_8_ch"/>
    <w:link w:val="Style_47"/>
    <w:rPr>
      <w:sz w:val="16"/>
    </w:rPr>
  </w:style>
  <w:style w:styleId="Style_48" w:type="paragraph">
    <w:name w:val="Header and Footer"/>
    <w:link w:val="Style_48_ch"/>
    <w:pPr>
      <w:ind/>
      <w:jc w:val="both"/>
    </w:pPr>
    <w:rPr>
      <w:rFonts w:ascii="XO Thames" w:hAnsi="XO Thames"/>
    </w:rPr>
  </w:style>
  <w:style w:styleId="Style_48_ch" w:type="character">
    <w:name w:val="Header and Footer"/>
    <w:link w:val="Style_48"/>
    <w:rPr>
      <w:rFonts w:ascii="XO Thames" w:hAnsi="XO Thames"/>
    </w:rPr>
  </w:style>
  <w:style w:styleId="Style_49" w:type="paragraph">
    <w:name w:val="Обычный1"/>
    <w:link w:val="Style_49_ch"/>
    <w:rPr>
      <w:sz w:val="24"/>
    </w:rPr>
  </w:style>
  <w:style w:styleId="Style_49_ch" w:type="character">
    <w:name w:val="Обычный1"/>
    <w:link w:val="Style_49"/>
    <w:rPr>
      <w:sz w:val="24"/>
    </w:rPr>
  </w:style>
  <w:style w:styleId="Style_50" w:type="paragraph">
    <w:name w:val="Знак1"/>
    <w:basedOn w:val="Style_8"/>
    <w:link w:val="Style_50_ch"/>
    <w:pPr>
      <w:spacing w:afterAutospacing="on" w:beforeAutospacing="on"/>
      <w:ind/>
    </w:pPr>
    <w:rPr>
      <w:rFonts w:ascii="Tahoma" w:hAnsi="Tahoma"/>
      <w:sz w:val="20"/>
    </w:rPr>
  </w:style>
  <w:style w:styleId="Style_50_ch" w:type="character">
    <w:name w:val="Знак1"/>
    <w:basedOn w:val="Style_8_ch"/>
    <w:link w:val="Style_50"/>
    <w:rPr>
      <w:rFonts w:ascii="Tahoma" w:hAnsi="Tahoma"/>
      <w:sz w:val="20"/>
    </w:rPr>
  </w:style>
  <w:style w:styleId="Style_51" w:type="paragraph">
    <w:name w:val="toc 9"/>
    <w:next w:val="Style_8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Body Text Indent 2"/>
    <w:basedOn w:val="Style_8"/>
    <w:link w:val="Style_52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52_ch" w:type="character">
    <w:name w:val="Body Text Indent 2"/>
    <w:basedOn w:val="Style_8_ch"/>
    <w:link w:val="Style_52"/>
    <w:rPr>
      <w:b w:val="1"/>
      <w:sz w:val="28"/>
    </w:rPr>
  </w:style>
  <w:style w:styleId="Style_53" w:type="paragraph">
    <w:name w:val="Основной текст1 Знак1"/>
    <w:link w:val="Style_53_ch"/>
    <w:rPr>
      <w:b w:val="1"/>
      <w:sz w:val="24"/>
    </w:rPr>
  </w:style>
  <w:style w:styleId="Style_53_ch" w:type="character">
    <w:name w:val="Основной текст1 Знак1"/>
    <w:link w:val="Style_53"/>
    <w:rPr>
      <w:b w:val="1"/>
      <w:sz w:val="24"/>
    </w:rPr>
  </w:style>
  <w:style w:styleId="Style_54" w:type="paragraph">
    <w:name w:val="Знак Знак3 Знак Знак"/>
    <w:basedOn w:val="Style_8"/>
    <w:link w:val="Style_5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4_ch" w:type="character">
    <w:name w:val="Знак Знак3 Знак Знак"/>
    <w:basedOn w:val="Style_8_ch"/>
    <w:link w:val="Style_54"/>
    <w:rPr>
      <w:rFonts w:ascii="Verdana" w:hAnsi="Verdana"/>
      <w:sz w:val="20"/>
    </w:rPr>
  </w:style>
  <w:style w:styleId="Style_55" w:type="paragraph">
    <w:name w:val="Знак Знак13"/>
    <w:link w:val="Style_55_ch"/>
    <w:rPr>
      <w:b w:val="1"/>
      <w:sz w:val="28"/>
    </w:rPr>
  </w:style>
  <w:style w:styleId="Style_55_ch" w:type="character">
    <w:name w:val="Знак Знак13"/>
    <w:link w:val="Style_55"/>
    <w:rPr>
      <w:b w:val="1"/>
      <w:sz w:val="28"/>
    </w:rPr>
  </w:style>
  <w:style w:styleId="Style_56" w:type="paragraph">
    <w:name w:val="toc 8"/>
    <w:next w:val="Style_8"/>
    <w:link w:val="Style_56_ch"/>
    <w:uiPriority w:val="39"/>
    <w:pPr>
      <w:ind w:firstLine="0" w:left="1400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Обычный1"/>
    <w:link w:val="Style_57_ch"/>
    <w:rPr>
      <w:sz w:val="24"/>
    </w:rPr>
  </w:style>
  <w:style w:styleId="Style_57_ch" w:type="character">
    <w:name w:val="Обычный1"/>
    <w:link w:val="Style_57"/>
    <w:rPr>
      <w:sz w:val="24"/>
    </w:rPr>
  </w:style>
  <w:style w:styleId="Style_58" w:type="paragraph">
    <w:name w:val="Body Text Indent"/>
    <w:basedOn w:val="Style_8"/>
    <w:link w:val="Style_58_ch"/>
    <w:pPr>
      <w:spacing w:after="120"/>
      <w:ind w:firstLine="0" w:left="283"/>
    </w:pPr>
  </w:style>
  <w:style w:styleId="Style_58_ch" w:type="character">
    <w:name w:val="Body Text Indent"/>
    <w:basedOn w:val="Style_8_ch"/>
    <w:link w:val="Style_58"/>
  </w:style>
  <w:style w:styleId="Style_59" w:type="paragraph">
    <w:name w:val="ConsNormal"/>
    <w:link w:val="Style_59_ch"/>
    <w:pPr>
      <w:widowControl w:val="0"/>
      <w:ind w:firstLine="720" w:left="0" w:right="19772"/>
    </w:pPr>
    <w:rPr>
      <w:rFonts w:ascii="Arial" w:hAnsi="Arial"/>
    </w:rPr>
  </w:style>
  <w:style w:styleId="Style_59_ch" w:type="character">
    <w:name w:val="ConsNormal"/>
    <w:link w:val="Style_59"/>
    <w:rPr>
      <w:rFonts w:ascii="Arial" w:hAnsi="Arial"/>
    </w:rPr>
  </w:style>
  <w:style w:styleId="Style_60" w:type="paragraph">
    <w:name w:val="toc 5"/>
    <w:next w:val="Style_8"/>
    <w:link w:val="Style_60_ch"/>
    <w:uiPriority w:val="39"/>
    <w:pPr>
      <w:ind w:firstLine="0" w:left="800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61" w:type="paragraph">
    <w:name w:val="Subtitle"/>
    <w:next w:val="Style_8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List Paragraph"/>
    <w:basedOn w:val="Style_8"/>
    <w:link w:val="Style_6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2_ch" w:type="character">
    <w:name w:val="List Paragraph"/>
    <w:basedOn w:val="Style_8_ch"/>
    <w:link w:val="Style_62"/>
    <w:rPr>
      <w:rFonts w:ascii="Calibri" w:hAnsi="Calibri"/>
      <w:sz w:val="22"/>
    </w:rPr>
  </w:style>
  <w:style w:styleId="Style_63" w:type="paragraph">
    <w:name w:val="Title"/>
    <w:next w:val="Style_8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basedOn w:val="Style_8"/>
    <w:next w:val="Style_8"/>
    <w:link w:val="Style_6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4_ch" w:type="character">
    <w:name w:val="heading 4"/>
    <w:basedOn w:val="Style_8_ch"/>
    <w:link w:val="Style_64"/>
    <w:rPr>
      <w:b w:val="1"/>
      <w:sz w:val="28"/>
    </w:rPr>
  </w:style>
  <w:style w:styleId="Style_65" w:type="paragraph">
    <w:name w:val="Номер строки1"/>
    <w:link w:val="Style_65_ch"/>
  </w:style>
  <w:style w:styleId="Style_65_ch" w:type="character">
    <w:name w:val="Номер строки1"/>
    <w:link w:val="Style_65"/>
  </w:style>
  <w:style w:styleId="Style_66" w:type="paragraph">
    <w:name w:val="Основной текст1"/>
    <w:basedOn w:val="Style_8"/>
    <w:link w:val="Style_66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66_ch" w:type="character">
    <w:name w:val="Основной текст1"/>
    <w:basedOn w:val="Style_8_ch"/>
    <w:link w:val="Style_66"/>
    <w:rPr>
      <w:spacing w:val="-1"/>
      <w:sz w:val="26"/>
      <w:highlight w:val="white"/>
    </w:rPr>
  </w:style>
  <w:style w:styleId="Style_67" w:type="paragraph">
    <w:name w:val="heading 2"/>
    <w:basedOn w:val="Style_8"/>
    <w:next w:val="Style_8"/>
    <w:link w:val="Style_67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67_ch" w:type="character">
    <w:name w:val="heading 2"/>
    <w:basedOn w:val="Style_8_ch"/>
    <w:link w:val="Style_67"/>
    <w:rPr>
      <w:rFonts w:ascii="Arial" w:hAnsi="Arial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2023-04-28T07:37:32Z</dcterms:modified>
</cp:coreProperties>
</file>