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line="240" w:lineRule="auto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spacing w:line="240" w:lineRule="auto"/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spacing w:line="240" w:lineRule="auto"/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spacing w:line="240" w:lineRule="auto"/>
        <w:ind w:firstLine="0" w:left="0" w:right="-2"/>
        <w:jc w:val="center"/>
        <w:rPr>
          <w:sz w:val="28"/>
        </w:rPr>
      </w:pPr>
      <w:r>
        <w:rPr>
          <w:sz w:val="28"/>
        </w:rPr>
        <w:t xml:space="preserve">х. </w:t>
      </w:r>
      <w:r>
        <w:rPr>
          <w:sz w:val="28"/>
        </w:rPr>
        <w:t>Кринично-Лугский</w:t>
      </w:r>
    </w:p>
    <w:p w14:paraId="10000000">
      <w:pPr>
        <w:tabs>
          <w:tab w:leader="none" w:pos="7288" w:val="left"/>
        </w:tabs>
        <w:spacing w:line="240" w:lineRule="auto"/>
        <w:ind w:firstLine="0" w:left="0" w:right="-2"/>
        <w:jc w:val="left"/>
        <w:rPr>
          <w:sz w:val="28"/>
        </w:rPr>
      </w:pPr>
      <w:r>
        <w:rPr>
          <w:sz w:val="28"/>
        </w:rPr>
        <w:t>19.04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 xml:space="preserve">№ 77 </w:t>
      </w:r>
      <w:r>
        <w:rPr>
          <w:sz w:val="28"/>
        </w:rPr>
        <w:t xml:space="preserve"> </w:t>
      </w:r>
    </w:p>
    <w:p w14:paraId="11000000">
      <w:pPr>
        <w:spacing w:line="240" w:lineRule="auto"/>
        <w:ind w:firstLine="0" w:left="0" w:right="-2"/>
        <w:jc w:val="center"/>
        <w:rPr>
          <w:sz w:val="28"/>
        </w:rPr>
      </w:pPr>
    </w:p>
    <w:p w14:paraId="12000000">
      <w:pPr>
        <w:spacing w:line="240" w:lineRule="auto"/>
        <w:ind w:firstLine="0" w:left="0" w:right="-2"/>
        <w:jc w:val="center"/>
        <w:rPr>
          <w:sz w:val="28"/>
        </w:rPr>
      </w:pPr>
      <w:bookmarkStart w:id="1" w:name="_GoBack"/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spacing w:line="240" w:lineRule="auto"/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spacing w:line="240" w:lineRule="auto"/>
        <w:ind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 xml:space="preserve">и </w:t>
      </w:r>
      <w:r>
        <w:rPr>
          <w:sz w:val="28"/>
        </w:rPr>
        <w:t>с Бюджетным кодексом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Областным законом от 29.03.2023 № 844-ЗС «О внесении изменений в областной закон «О бюджетном процессе в Ростовской области» и в</w:t>
      </w:r>
      <w:r>
        <w:rPr>
          <w:sz w:val="28"/>
        </w:rPr>
        <w:t xml:space="preserve"> </w:t>
      </w:r>
      <w:r>
        <w:rPr>
          <w:sz w:val="28"/>
        </w:rPr>
        <w:t xml:space="preserve">целях приведения муниципального правового акта в соответствие с требованиями действующего законодательства </w:t>
      </w:r>
      <w:r>
        <w:rPr>
          <w:sz w:val="28"/>
        </w:rPr>
        <w:t xml:space="preserve">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Внести в</w:t>
      </w:r>
      <w:r>
        <w:rPr>
          <w:sz w:val="28"/>
        </w:rPr>
        <w:t xml:space="preserve"> Приложение решения</w:t>
      </w:r>
      <w:r>
        <w:rPr>
          <w:sz w:val="28"/>
        </w:rPr>
        <w:t xml:space="preserve">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</w:t>
      </w:r>
      <w:r>
        <w:rPr>
          <w:sz w:val="28"/>
        </w:rPr>
        <w:t>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следующие изменения:</w:t>
      </w:r>
    </w:p>
    <w:p w14:paraId="18000000">
      <w:pPr>
        <w:pStyle w:val="Style_4"/>
        <w:numPr>
          <w:ilvl w:val="1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Пункт 5 с</w:t>
      </w:r>
      <w:r>
        <w:rPr>
          <w:sz w:val="28"/>
        </w:rPr>
        <w:t>тать</w:t>
      </w:r>
      <w:r>
        <w:rPr>
          <w:sz w:val="28"/>
        </w:rPr>
        <w:t>и 4</w:t>
      </w:r>
      <w:r>
        <w:rPr>
          <w:sz w:val="28"/>
        </w:rPr>
        <w:t xml:space="preserve"> изложить в следующей редакции:</w:t>
      </w:r>
    </w:p>
    <w:p w14:paraId="19000000">
      <w:pPr>
        <w:pStyle w:val="Style_4"/>
        <w:spacing w:line="240" w:lineRule="auto"/>
        <w:ind w:firstLine="709" w:left="0"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В  бюджете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в соответствии с бюджетной клас</w:t>
      </w:r>
      <w:r>
        <w:rPr>
          <w:sz w:val="28"/>
        </w:rPr>
        <w:t xml:space="preserve">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полномочий по предметам совместного ведения, указанных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"https://login.consultant.ru/link/?req=doc&amp;base=LAW&amp;n=439193&amp;dst=100478&amp;field=134&amp;date=05.04.2023"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частях 1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"https://login.consultant.ru/link/?req=doc&amp;base=LAW&amp;n=439193&amp;dst=100652&amp;field=134&amp;date=05.04.2023"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5 статьи 44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</w:t>
      </w:r>
      <w:r>
        <w:rPr>
          <w:sz w:val="28"/>
        </w:rPr>
        <w:t xml:space="preserve"> и расходных обязательств муниципального образования, осуществляемых за счет субвенций из федерального бюджета.</w:t>
      </w:r>
      <w:r>
        <w:rPr>
          <w:sz w:val="28"/>
        </w:rPr>
        <w:t>»;</w:t>
      </w:r>
    </w:p>
    <w:p w14:paraId="1A000000">
      <w:pPr>
        <w:spacing w:line="240" w:lineRule="auto"/>
        <w:ind/>
        <w:rPr>
          <w:sz w:val="28"/>
        </w:rPr>
      </w:pPr>
      <w:r>
        <w:rPr>
          <w:sz w:val="28"/>
        </w:rPr>
        <w:t xml:space="preserve">1.2. Пункт 4 статьи 6 </w:t>
      </w:r>
      <w:r>
        <w:rPr>
          <w:sz w:val="28"/>
        </w:rPr>
        <w:t>изложить в следующей редакции:</w:t>
      </w:r>
    </w:p>
    <w:p w14:paraId="1B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4. </w:t>
      </w:r>
      <w:r>
        <w:rPr>
          <w:sz w:val="28"/>
        </w:rPr>
        <w:t xml:space="preserve">Муниципальные контракты </w:t>
      </w:r>
      <w:r>
        <w:rPr>
          <w:sz w:val="28"/>
        </w:rPr>
        <w:t>заключаются в соответствии с планом-графиком закупок товаров, работ, услуг для обеспечения муниципальных нужд</w:t>
      </w:r>
      <w:r>
        <w:rPr>
          <w:sz w:val="28"/>
        </w:rPr>
        <w:t xml:space="preserve">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</w:t>
      </w:r>
      <w:r>
        <w:rPr>
          <w:sz w:val="28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</w:t>
      </w:r>
      <w:r>
        <w:rPr>
          <w:sz w:val="28"/>
        </w:rPr>
        <w:t xml:space="preserve"> и оплачиваются в пределах лимитов бюджетных обязательств, </w:t>
      </w:r>
      <w:r>
        <w:rPr>
          <w:rFonts w:ascii="Times New Roman" w:hAnsi="Times New Roman"/>
          <w:b w:val="0"/>
          <w:sz w:val="28"/>
        </w:rPr>
        <w:t>за исключением случаев, установленных Бюджетным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"https://login.consultant.ru/link/?req=doc&amp;base=LAW&amp;n=402282&amp;date=05.04.2023"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кодексом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Российской Федерации и иными федеральными законами, регулирующими бюджетные правоотношения.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C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>1.3. Пункт 3 статьи 45 считать утратившей силу</w:t>
      </w:r>
      <w:r>
        <w:rPr>
          <w:rFonts w:ascii="Times New Roman" w:hAnsi="Times New Roman"/>
          <w:b w:val="0"/>
          <w:sz w:val="28"/>
        </w:rPr>
        <w:t>.</w:t>
      </w:r>
    </w:p>
    <w:p w14:paraId="1D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1.4. Пункт 4 статьи 45 считать пунктом 3 и </w:t>
      </w:r>
      <w:r>
        <w:rPr>
          <w:sz w:val="28"/>
        </w:rPr>
        <w:t>изложить в следующей редакции:</w:t>
      </w:r>
    </w:p>
    <w:p w14:paraId="1E000000">
      <w:pPr>
        <w:spacing w:line="240" w:lineRule="auto"/>
        <w:ind/>
        <w:rPr>
          <w:sz w:val="28"/>
        </w:rPr>
      </w:pPr>
      <w:r>
        <w:rPr>
          <w:rFonts w:ascii="Times New Roman" w:hAnsi="Times New Roman"/>
          <w:b w:val="0"/>
          <w:sz w:val="28"/>
        </w:rPr>
        <w:t>«3</w:t>
      </w:r>
      <w:r>
        <w:rPr>
          <w:sz w:val="28"/>
        </w:rPr>
        <w:t xml:space="preserve">. Получатель бюджетных средств принимает бюджетные обязательства  и вносит изменения в ранее принятые бюджетные обязательства в </w:t>
      </w:r>
      <w:r>
        <w:rPr>
          <w:sz w:val="28"/>
        </w:rPr>
        <w:t>пределах</w:t>
      </w:r>
      <w:r>
        <w:rPr>
          <w:sz w:val="28"/>
        </w:rPr>
        <w:t xml:space="preserve"> доведенных до него лимитов бюджетных обязательств.</w:t>
      </w:r>
    </w:p>
    <w:p w14:paraId="1F000000">
      <w:pPr>
        <w:spacing w:line="240" w:lineRule="auto"/>
        <w:ind/>
        <w:rPr>
          <w:sz w:val="28"/>
        </w:rPr>
      </w:pPr>
      <w:r>
        <w:rPr>
          <w:sz w:val="28"/>
        </w:rPr>
        <w:t>Получатель бюджетных сре</w:t>
      </w:r>
      <w:r>
        <w:rPr>
          <w:sz w:val="28"/>
        </w:rPr>
        <w:t>дств пр</w:t>
      </w:r>
      <w:r>
        <w:rPr>
          <w:sz w:val="28"/>
        </w:rPr>
        <w:t xml:space="preserve"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14:paraId="20000000">
      <w:pPr>
        <w:spacing w:line="240" w:lineRule="auto"/>
        <w:ind/>
        <w:rPr>
          <w:sz w:val="28"/>
        </w:rPr>
      </w:pPr>
      <w:r>
        <w:rPr>
          <w:sz w:val="28"/>
        </w:rPr>
        <w:t>Получатель бюджетных сре</w:t>
      </w:r>
      <w:r>
        <w:rPr>
          <w:sz w:val="28"/>
        </w:rPr>
        <w:t>дств</w:t>
      </w:r>
      <w:r>
        <w:rPr>
          <w:sz w:val="28"/>
        </w:rPr>
        <w:t xml:space="preserve"> </w:t>
      </w:r>
      <w:r>
        <w:rPr>
          <w:sz w:val="28"/>
        </w:rPr>
        <w:t xml:space="preserve"> пр</w:t>
      </w:r>
      <w:r>
        <w:rPr>
          <w:sz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21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"https://login.consultant.ru/link/?req=doc&amp;base=LAW&amp;n=402282&amp;date=05.04.2023"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кодекса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».</w:t>
      </w:r>
    </w:p>
    <w:p w14:paraId="22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1.5. Подпункт 5 Пункт 2 статьи 47.1 </w:t>
      </w:r>
      <w:r>
        <w:rPr>
          <w:sz w:val="28"/>
        </w:rPr>
        <w:t>изложить в следующей редакции:</w:t>
      </w:r>
    </w:p>
    <w:p w14:paraId="23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 xml:space="preserve">5) финансовое обеспечение расходных обязательств, осуществляемых за счет </w:t>
      </w:r>
      <w:r>
        <w:rPr>
          <w:rFonts w:ascii="Times New Roman" w:hAnsi="Times New Roman"/>
          <w:sz w:val="28"/>
        </w:rPr>
        <w:t xml:space="preserve">целевых безвозмездных поступлений </w:t>
      </w:r>
      <w:r>
        <w:rPr>
          <w:rFonts w:ascii="Times New Roman" w:hAnsi="Times New Roman"/>
          <w:b w:val="0"/>
          <w:sz w:val="28"/>
        </w:rPr>
        <w:t>от публично-правовой компании "Фонд развития территорий",</w:t>
      </w:r>
      <w:r>
        <w:rPr>
          <w:rFonts w:ascii="Times New Roman" w:hAnsi="Times New Roman"/>
          <w:sz w:val="28"/>
        </w:rPr>
        <w:t xml:space="preserve"> - в объеме, не превышающем остатка неиспользованных бюджетных ассигнований на начало текущего финансового года;»</w:t>
      </w:r>
    </w:p>
    <w:p w14:paraId="24000000">
      <w:pPr>
        <w:pStyle w:val="Style_5"/>
        <w:numPr>
          <w:ilvl w:val="0"/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6"/>
        <w:numPr>
          <w:ilvl w:val="0"/>
          <w:numId w:val="1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бюджету,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26000000">
      <w:pPr>
        <w:pStyle w:val="Style_4"/>
        <w:spacing w:line="240" w:lineRule="auto"/>
        <w:ind w:firstLine="851" w:left="0"/>
        <w:rPr>
          <w:sz w:val="28"/>
        </w:rPr>
      </w:pPr>
    </w:p>
    <w:p w14:paraId="27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28000000">
      <w:pPr>
        <w:tabs>
          <w:tab w:leader="none" w:pos="7797" w:val="left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  <w:bookmarkEnd w:id="1"/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1z7"/>
    <w:link w:val="Style_13_ch"/>
  </w:style>
  <w:style w:styleId="Style_13_ch" w:type="character">
    <w:name w:val="WW8Num1z7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5" w:type="paragraph">
    <w:name w:val="ConsPlusTextList1"/>
    <w:link w:val="Style_15_ch"/>
    <w:pPr>
      <w:widowControl w:val="0"/>
      <w:ind/>
    </w:pPr>
    <w:rPr>
      <w:sz w:val="24"/>
    </w:rPr>
  </w:style>
  <w:style w:styleId="Style_15_ch" w:type="character">
    <w:name w:val="ConsPlusTextList1"/>
    <w:link w:val="Style_15"/>
    <w:rPr>
      <w:sz w:val="24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8"/>
    <w:link w:val="Style_20_ch"/>
    <w:rPr>
      <w:color w:val="0000FF"/>
      <w:u w:val="single"/>
    </w:rPr>
  </w:style>
  <w:style w:styleId="Style_20_ch" w:type="character">
    <w:name w:val="Hyperlink"/>
    <w:basedOn w:val="Style_8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Знак Знак Знак1 Знак"/>
    <w:basedOn w:val="Style_7"/>
    <w:link w:val="Style_25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25_ch" w:type="character">
    <w:name w:val="Знак Знак Знак1 Знак"/>
    <w:basedOn w:val="Style_7_ch"/>
    <w:link w:val="Style_25"/>
    <w:rPr>
      <w:rFonts w:ascii="Tahoma" w:hAnsi="Tahoma"/>
      <w:sz w:val="20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basedOn w:val="Style_7"/>
    <w:next w:val="Style_7"/>
    <w:link w:val="Style_28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8_ch" w:type="character">
    <w:name w:val="Subtitle"/>
    <w:basedOn w:val="Style_7_ch"/>
    <w:link w:val="Style_28"/>
    <w:rPr>
      <w:rFonts w:asciiTheme="majorAscii" w:hAnsiTheme="majorHAnsi"/>
      <w:i w:val="1"/>
      <w:color w:themeColor="accent1" w:val="4F81BD"/>
      <w:spacing w:val="15"/>
      <w:sz w:val="24"/>
    </w:rPr>
  </w:style>
  <w:style w:styleId="Style_29" w:type="paragraph">
    <w:name w:val="footer"/>
    <w:basedOn w:val="Style_7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7_ch"/>
    <w:link w:val="Style_29"/>
  </w:style>
  <w:style w:styleId="Style_2" w:type="paragraph">
    <w:name w:val="Title"/>
    <w:basedOn w:val="Style_7"/>
    <w:next w:val="Style_28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6" w:type="paragraph">
    <w:name w:val="Основной текст с отступом 22"/>
    <w:basedOn w:val="Style_7"/>
    <w:link w:val="Style_6_ch"/>
    <w:pPr>
      <w:widowControl w:val="0"/>
      <w:spacing w:after="120" w:line="480" w:lineRule="auto"/>
      <w:ind w:firstLine="0" w:left="283"/>
      <w:jc w:val="center"/>
    </w:pPr>
    <w:rPr>
      <w:color w:val="000000"/>
      <w:sz w:val="24"/>
    </w:rPr>
  </w:style>
  <w:style w:styleId="Style_6_ch" w:type="character">
    <w:name w:val="Основной текст с отступом 22"/>
    <w:basedOn w:val="Style_7_ch"/>
    <w:link w:val="Style_6"/>
    <w:rPr>
      <w:color w:val="000000"/>
      <w:sz w:val="24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2023-04-20T08:47:53Z</dcterms:modified>
</cp:coreProperties>
</file>