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Российская федерация</w:t>
      </w:r>
    </w:p>
    <w:p w14:paraId="06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ростовская область</w:t>
      </w:r>
    </w:p>
    <w:p w14:paraId="07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куйбышевскОГО районА</w:t>
      </w:r>
    </w:p>
    <w:p w14:paraId="08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СОБРАНИЕ ДЕПУТАТОВ Кринично-ЛугскоГО сельскоГО поселениЯ</w:t>
      </w:r>
    </w:p>
    <w:p w14:paraId="0C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D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0E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00.03.2022  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 xml:space="preserve">             № 00  </w:t>
      </w:r>
    </w:p>
    <w:p w14:paraId="10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sz w:val="28"/>
        </w:rPr>
      </w:pPr>
    </w:p>
    <w:p w14:paraId="11000000">
      <w:pPr>
        <w:ind w:firstLine="510" w:left="0"/>
        <w:jc w:val="center"/>
        <w:rPr>
          <w:sz w:val="28"/>
        </w:rPr>
      </w:pPr>
      <w:r>
        <w:rPr>
          <w:sz w:val="28"/>
        </w:rPr>
        <w:t xml:space="preserve">О проекте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и назначении публичных слушаний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В соответствии со статьей 28 Федерального закона от 06.10.2003 го</w:t>
      </w:r>
      <w:r>
        <w:rPr>
          <w:sz w:val="28"/>
        </w:rPr>
        <w:t>да № 131-ФЗ «Об общих принципах организации местного самоуправления в Российской Федерации», статьей 13 Устава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Положения о бюджетном процессе в муниципальном образовании  «</w:t>
      </w:r>
      <w:r>
        <w:rPr>
          <w:sz w:val="28"/>
        </w:rPr>
        <w:t>Кринично-Лугское</w:t>
      </w:r>
      <w:r>
        <w:rPr>
          <w:sz w:val="28"/>
        </w:rPr>
        <w:t xml:space="preserve"> с</w:t>
      </w:r>
      <w:r>
        <w:rPr>
          <w:sz w:val="28"/>
        </w:rPr>
        <w:t xml:space="preserve">ельское поселение» и в целях обеспечения участия граждан, проживающих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в обсуждении проектов правовых актов по вопросам местного значения Собрание</w:t>
      </w:r>
      <w:r>
        <w:rPr>
          <w:sz w:val="28"/>
        </w:rPr>
        <w:t xml:space="preserve">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 </w:t>
      </w:r>
      <w:r>
        <w:rPr>
          <w:sz w:val="28"/>
        </w:rPr>
        <w:t xml:space="preserve">  </w:t>
      </w:r>
    </w:p>
    <w:p w14:paraId="14000000">
      <w:pPr>
        <w:pStyle w:val="Style_3"/>
        <w:ind w:firstLine="900" w:left="0"/>
        <w:rPr>
          <w:sz w:val="28"/>
        </w:rPr>
      </w:pPr>
    </w:p>
    <w:p w14:paraId="15000000">
      <w:pPr>
        <w:pStyle w:val="Style_3"/>
        <w:numPr>
          <w:ilvl w:val="0"/>
          <w:numId w:val="1"/>
        </w:numPr>
        <w:tabs>
          <w:tab w:leader="none" w:pos="0" w:val="left"/>
          <w:tab w:leader="none" w:pos="2280" w:val="clear"/>
        </w:tabs>
        <w:spacing w:after="0"/>
        <w:ind w:firstLine="900" w:left="0"/>
        <w:jc w:val="both"/>
        <w:rPr>
          <w:sz w:val="28"/>
        </w:rPr>
      </w:pPr>
      <w:r>
        <w:rPr>
          <w:sz w:val="28"/>
        </w:rPr>
        <w:t xml:space="preserve">Принять за основу проект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согласно приложению 1 к настоящему решению.</w:t>
      </w:r>
    </w:p>
    <w:p w14:paraId="16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Утвердить порядок учета предложений к проекту и участия </w:t>
      </w:r>
      <w:r>
        <w:rPr>
          <w:sz w:val="28"/>
        </w:rPr>
        <w:t>граждан в его обсуждении согласно приложению 2 к настоящему решению.</w:t>
      </w:r>
    </w:p>
    <w:p w14:paraId="17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Назначить публичные слушания по проекту отчета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2022год </w:t>
      </w:r>
      <w:r>
        <w:rPr>
          <w:sz w:val="28"/>
        </w:rPr>
        <w:t>на</w:t>
      </w:r>
      <w:r>
        <w:rPr>
          <w:sz w:val="28"/>
        </w:rPr>
        <w:t xml:space="preserve"> __</w:t>
      </w:r>
      <w:r>
        <w:rPr>
          <w:sz w:val="28"/>
        </w:rPr>
        <w:t>апреля</w:t>
      </w:r>
      <w:r>
        <w:rPr>
          <w:sz w:val="28"/>
        </w:rPr>
        <w:t xml:space="preserve"> 2023 года и провести их в актовом за</w:t>
      </w:r>
      <w:r>
        <w:rPr>
          <w:sz w:val="28"/>
        </w:rPr>
        <w:t xml:space="preserve">ле здания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х. </w:t>
      </w:r>
      <w:r>
        <w:rPr>
          <w:sz w:val="28"/>
        </w:rPr>
        <w:t>Кринично-Лугский</w:t>
      </w:r>
      <w:r>
        <w:rPr>
          <w:sz w:val="28"/>
        </w:rPr>
        <w:t xml:space="preserve"> по адресу: Ростовская область, Куйбышевский район, х. </w:t>
      </w:r>
      <w:r>
        <w:rPr>
          <w:sz w:val="28"/>
        </w:rPr>
        <w:t>Кринично-Лугский</w:t>
      </w:r>
      <w:r>
        <w:rPr>
          <w:sz w:val="28"/>
        </w:rPr>
        <w:t>, ул. Советская, д. 5а  в 0:00 часов.</w:t>
      </w:r>
    </w:p>
    <w:p w14:paraId="1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 4. </w:t>
      </w:r>
      <w:r>
        <w:rPr>
          <w:sz w:val="28"/>
        </w:rPr>
        <w:t>Опубликовать настоящее решение на официальном сайте Администра</w:t>
      </w:r>
      <w:r>
        <w:rPr>
          <w:sz w:val="28"/>
        </w:rPr>
        <w:t xml:space="preserve">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сети Интернет и в информационном бюллетени поселения.</w:t>
      </w:r>
    </w:p>
    <w:p w14:paraId="1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5. Данное решение вступает в силу со дня его официального опубликования.</w:t>
      </w:r>
    </w:p>
    <w:p w14:paraId="1A000000">
      <w:pPr>
        <w:pStyle w:val="Style_4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>постоянную комиссию по бюд</w:t>
      </w:r>
      <w:r>
        <w:rPr>
          <w:sz w:val="28"/>
        </w:rPr>
        <w:t xml:space="preserve">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1B000000">
      <w:pPr>
        <w:ind w:firstLine="720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1E000000">
      <w:pPr>
        <w:ind w:firstLine="851" w:left="0"/>
        <w:jc w:val="both"/>
        <w:rPr>
          <w:sz w:val="28"/>
        </w:rPr>
      </w:pPr>
    </w:p>
    <w:p w14:paraId="1F000000">
      <w:pPr>
        <w:ind w:firstLine="851" w:left="0"/>
        <w:jc w:val="both"/>
        <w:rPr>
          <w:sz w:val="28"/>
        </w:rPr>
      </w:pPr>
    </w:p>
    <w:p w14:paraId="20000000">
      <w:pPr>
        <w:ind w:firstLine="851" w:left="0"/>
        <w:jc w:val="both"/>
        <w:rPr>
          <w:sz w:val="28"/>
        </w:rPr>
      </w:pPr>
    </w:p>
    <w:p w14:paraId="21000000">
      <w:pPr>
        <w:ind w:firstLine="851" w:left="0"/>
        <w:jc w:val="both"/>
        <w:rPr>
          <w:sz w:val="28"/>
        </w:rPr>
      </w:pPr>
    </w:p>
    <w:p w14:paraId="22000000">
      <w:pPr>
        <w:ind w:firstLine="851" w:left="0"/>
        <w:jc w:val="both"/>
        <w:rPr>
          <w:sz w:val="28"/>
        </w:rPr>
      </w:pPr>
    </w:p>
    <w:p w14:paraId="23000000">
      <w:pPr>
        <w:ind w:firstLine="851" w:left="0"/>
        <w:jc w:val="both"/>
        <w:rPr>
          <w:sz w:val="28"/>
        </w:rPr>
      </w:pPr>
    </w:p>
    <w:p w14:paraId="24000000">
      <w:pPr>
        <w:ind w:firstLine="851" w:left="0"/>
        <w:jc w:val="both"/>
        <w:rPr>
          <w:sz w:val="28"/>
        </w:rPr>
      </w:pPr>
    </w:p>
    <w:p w14:paraId="25000000">
      <w:pPr>
        <w:ind w:firstLine="851" w:left="0"/>
        <w:jc w:val="both"/>
        <w:rPr>
          <w:sz w:val="28"/>
        </w:rPr>
      </w:pPr>
    </w:p>
    <w:p w14:paraId="26000000">
      <w:pPr>
        <w:ind w:firstLine="851" w:left="0"/>
        <w:jc w:val="both"/>
        <w:rPr>
          <w:sz w:val="28"/>
        </w:rPr>
      </w:pPr>
    </w:p>
    <w:p w14:paraId="27000000">
      <w:pPr>
        <w:ind w:firstLine="851" w:left="0"/>
        <w:jc w:val="both"/>
        <w:rPr>
          <w:sz w:val="28"/>
        </w:rPr>
      </w:pPr>
    </w:p>
    <w:p w14:paraId="28000000">
      <w:pPr>
        <w:ind w:firstLine="851" w:left="0"/>
        <w:jc w:val="both"/>
        <w:rPr>
          <w:sz w:val="28"/>
        </w:rPr>
      </w:pPr>
    </w:p>
    <w:p w14:paraId="29000000">
      <w:pPr>
        <w:ind w:firstLine="851" w:left="0"/>
        <w:jc w:val="both"/>
        <w:rPr>
          <w:sz w:val="28"/>
        </w:rPr>
      </w:pPr>
    </w:p>
    <w:p w14:paraId="2A000000">
      <w:pPr>
        <w:ind w:firstLine="851" w:left="0"/>
        <w:jc w:val="both"/>
        <w:rPr>
          <w:sz w:val="28"/>
        </w:rPr>
      </w:pPr>
    </w:p>
    <w:p w14:paraId="2B000000">
      <w:pPr>
        <w:ind w:firstLine="851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</w:p>
    <w:p w14:paraId="2D000000">
      <w:pPr>
        <w:ind w:firstLine="851" w:left="0"/>
        <w:jc w:val="both"/>
        <w:rPr>
          <w:sz w:val="28"/>
        </w:rPr>
      </w:pPr>
    </w:p>
    <w:p w14:paraId="2E000000">
      <w:pPr>
        <w:ind w:firstLine="851" w:left="0"/>
        <w:jc w:val="both"/>
        <w:rPr>
          <w:sz w:val="28"/>
        </w:rPr>
      </w:pPr>
    </w:p>
    <w:p w14:paraId="2F000000">
      <w:pPr>
        <w:ind w:firstLine="851" w:left="0"/>
        <w:jc w:val="both"/>
        <w:rPr>
          <w:sz w:val="28"/>
        </w:rPr>
      </w:pPr>
    </w:p>
    <w:p w14:paraId="30000000">
      <w:pPr>
        <w:ind w:firstLine="851" w:left="0"/>
        <w:jc w:val="both"/>
        <w:rPr>
          <w:sz w:val="28"/>
        </w:rPr>
      </w:pPr>
    </w:p>
    <w:p w14:paraId="31000000">
      <w:pPr>
        <w:ind w:firstLine="851" w:left="0"/>
        <w:jc w:val="both"/>
        <w:rPr>
          <w:sz w:val="28"/>
        </w:rPr>
      </w:pPr>
    </w:p>
    <w:p w14:paraId="32000000">
      <w:pPr>
        <w:ind w:firstLine="851" w:left="0"/>
        <w:jc w:val="both"/>
        <w:rPr>
          <w:sz w:val="28"/>
        </w:rPr>
      </w:pPr>
    </w:p>
    <w:p w14:paraId="33000000">
      <w:pPr>
        <w:ind w:firstLine="851" w:left="0"/>
        <w:jc w:val="both"/>
        <w:rPr>
          <w:sz w:val="28"/>
        </w:rPr>
      </w:pPr>
    </w:p>
    <w:p w14:paraId="34000000">
      <w:pPr>
        <w:ind w:firstLine="851" w:left="0"/>
        <w:jc w:val="both"/>
        <w:rPr>
          <w:sz w:val="28"/>
        </w:rPr>
      </w:pPr>
    </w:p>
    <w:p w14:paraId="35000000">
      <w:pPr>
        <w:ind w:firstLine="851" w:left="0"/>
        <w:jc w:val="both"/>
        <w:rPr>
          <w:sz w:val="28"/>
        </w:rPr>
      </w:pPr>
    </w:p>
    <w:p w14:paraId="36000000">
      <w:pPr>
        <w:ind w:firstLine="851" w:left="0"/>
        <w:jc w:val="both"/>
        <w:rPr>
          <w:sz w:val="28"/>
        </w:rPr>
      </w:pPr>
    </w:p>
    <w:p w14:paraId="37000000">
      <w:pPr>
        <w:ind w:firstLine="851" w:left="0"/>
        <w:jc w:val="both"/>
        <w:rPr>
          <w:sz w:val="28"/>
        </w:rPr>
      </w:pPr>
    </w:p>
    <w:p w14:paraId="38000000">
      <w:pPr>
        <w:ind w:firstLine="851" w:left="0"/>
        <w:jc w:val="both"/>
        <w:rPr>
          <w:sz w:val="28"/>
        </w:rPr>
      </w:pPr>
    </w:p>
    <w:p w14:paraId="39000000">
      <w:pPr>
        <w:ind w:firstLine="851" w:left="0"/>
        <w:jc w:val="both"/>
        <w:rPr>
          <w:sz w:val="28"/>
        </w:rPr>
      </w:pPr>
    </w:p>
    <w:p w14:paraId="3A000000">
      <w:pPr>
        <w:ind w:firstLine="851" w:left="0"/>
        <w:jc w:val="both"/>
        <w:rPr>
          <w:sz w:val="28"/>
        </w:rPr>
      </w:pPr>
    </w:p>
    <w:p w14:paraId="3B000000">
      <w:pPr>
        <w:ind w:firstLine="851" w:left="0"/>
        <w:jc w:val="both"/>
        <w:rPr>
          <w:sz w:val="28"/>
        </w:rPr>
      </w:pPr>
    </w:p>
    <w:p w14:paraId="3C000000">
      <w:pPr>
        <w:ind w:firstLine="851" w:left="0"/>
        <w:jc w:val="both"/>
        <w:rPr>
          <w:sz w:val="28"/>
        </w:rPr>
      </w:pPr>
    </w:p>
    <w:p w14:paraId="3D000000">
      <w:pPr>
        <w:ind w:firstLine="851" w:left="0"/>
        <w:jc w:val="both"/>
        <w:rPr>
          <w:sz w:val="28"/>
        </w:rPr>
      </w:pPr>
    </w:p>
    <w:p w14:paraId="3E000000">
      <w:pPr>
        <w:ind w:firstLine="851" w:left="0"/>
        <w:jc w:val="both"/>
        <w:rPr>
          <w:sz w:val="28"/>
        </w:rPr>
      </w:pPr>
    </w:p>
    <w:p w14:paraId="3F000000">
      <w:pPr>
        <w:ind w:firstLine="851" w:left="0"/>
        <w:jc w:val="both"/>
        <w:rPr>
          <w:sz w:val="28"/>
        </w:rPr>
      </w:pPr>
    </w:p>
    <w:p w14:paraId="40000000">
      <w:pPr>
        <w:ind w:firstLine="851" w:left="0"/>
        <w:jc w:val="both"/>
        <w:rPr>
          <w:sz w:val="28"/>
        </w:rPr>
      </w:pPr>
    </w:p>
    <w:p w14:paraId="41000000">
      <w:pPr>
        <w:ind w:firstLine="851" w:left="0"/>
        <w:jc w:val="both"/>
        <w:rPr>
          <w:sz w:val="28"/>
        </w:rPr>
      </w:pPr>
    </w:p>
    <w:p w14:paraId="42000000">
      <w:pPr>
        <w:ind w:firstLine="851" w:left="0"/>
        <w:jc w:val="both"/>
        <w:rPr>
          <w:sz w:val="28"/>
        </w:rPr>
      </w:pPr>
    </w:p>
    <w:p w14:paraId="43000000">
      <w:pPr>
        <w:ind w:firstLine="851" w:left="0"/>
        <w:jc w:val="both"/>
        <w:rPr>
          <w:sz w:val="28"/>
        </w:rPr>
      </w:pPr>
    </w:p>
    <w:p w14:paraId="44000000">
      <w:pPr>
        <w:ind w:firstLine="851" w:left="0"/>
        <w:jc w:val="both"/>
        <w:rPr>
          <w:sz w:val="28"/>
        </w:rPr>
      </w:pPr>
    </w:p>
    <w:p w14:paraId="45000000">
      <w:pPr>
        <w:ind w:firstLine="851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4352"/>
        <w:gridCol w:w="5342"/>
      </w:tblGrid>
      <w:tr>
        <w:tc>
          <w:tcPr>
            <w:tcW w:type="dxa" w:w="4352"/>
            <w:shd w:fill="auto" w:val="clear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342"/>
            <w:shd w:fill="auto" w:val="clear"/>
          </w:tcPr>
          <w:p w14:paraId="47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1 </w:t>
            </w:r>
          </w:p>
          <w:p w14:paraId="48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49000000">
            <w:pPr>
              <w:widowControl w:val="0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b w:val="1"/>
                <w:sz w:val="28"/>
              </w:rPr>
              <w:t xml:space="preserve"> </w:t>
            </w:r>
          </w:p>
          <w:p w14:paraId="4A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от 00.03.2023 № 00</w:t>
            </w:r>
          </w:p>
        </w:tc>
      </w:tr>
    </w:tbl>
    <w:p w14:paraId="4B000000">
      <w:pPr>
        <w:ind/>
        <w:jc w:val="center"/>
        <w:rPr>
          <w:sz w:val="28"/>
        </w:rPr>
      </w:pPr>
    </w:p>
    <w:p w14:paraId="4C000000">
      <w:pPr>
        <w:ind/>
        <w:jc w:val="center"/>
        <w:rPr>
          <w:sz w:val="28"/>
        </w:rPr>
      </w:pPr>
      <w:r>
        <w:rPr>
          <w:sz w:val="28"/>
        </w:rPr>
        <w:t xml:space="preserve">«Об утверждении отчета об исполнении бюджета </w:t>
      </w:r>
    </w:p>
    <w:p w14:paraId="4D000000">
      <w:pPr>
        <w:ind w:firstLine="510" w:left="0"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</w:t>
      </w:r>
    </w:p>
    <w:p w14:paraId="4E000000">
      <w:pPr>
        <w:ind w:firstLine="510" w:left="0"/>
        <w:jc w:val="center"/>
        <w:rPr>
          <w:b w:val="1"/>
          <w:sz w:val="28"/>
        </w:rPr>
      </w:pPr>
    </w:p>
    <w:p w14:paraId="4F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>
        <w:rPr>
          <w:sz w:val="28"/>
        </w:rPr>
        <w:t>Кринично-Лугского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поселения, на основании Положения о бюджетном процессе  муниципального образования 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РЕШИЛО:</w:t>
      </w:r>
    </w:p>
    <w:p w14:paraId="50000000">
      <w:pPr>
        <w:ind w:firstLine="510" w:left="0"/>
        <w:jc w:val="center"/>
        <w:rPr>
          <w:sz w:val="28"/>
        </w:rPr>
      </w:pPr>
    </w:p>
    <w:p w14:paraId="51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по доходам в сумме 23 689,3 тыс. рублей и расходам в сумме 24 074,1 тыс. рублей с превышением доходов над расходами (с дефицитом бюджета поселения) в сумме 384,8 тыс. рублей и со следующими показателями</w:t>
      </w:r>
      <w:r>
        <w:rPr>
          <w:sz w:val="28"/>
        </w:rPr>
        <w:t>:</w:t>
      </w:r>
    </w:p>
    <w:p w14:paraId="52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 по доходам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бюджетов за 2022 год согласно приложению 1 к настоящему проекту решения;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 по расходам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</w:t>
      </w:r>
      <w:r>
        <w:rPr>
          <w:sz w:val="28"/>
        </w:rPr>
        <w:t>ского района по ведомственной структуре расходов бюджета за 2022 год согласно приложению 2 к настоящему проекту решения;</w:t>
      </w:r>
    </w:p>
    <w:p w14:paraId="5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3) по расходам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разделам и подразделам классификации расходов бюдж</w:t>
      </w:r>
      <w:r>
        <w:rPr>
          <w:sz w:val="28"/>
        </w:rPr>
        <w:t>етов за 2022 год согласно приложению 3 к настоящему проекту решения;</w:t>
      </w:r>
    </w:p>
    <w:p w14:paraId="55000000">
      <w:pPr>
        <w:ind w:firstLine="737" w:left="0"/>
        <w:jc w:val="both"/>
        <w:rPr>
          <w:sz w:val="28"/>
        </w:rPr>
      </w:pPr>
      <w:r>
        <w:rPr>
          <w:sz w:val="28"/>
        </w:rPr>
        <w:t xml:space="preserve">4) по источникам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 2022 го</w:t>
      </w:r>
      <w:r>
        <w:rPr>
          <w:sz w:val="28"/>
        </w:rPr>
        <w:t>д согласно приложению 4 к настоящему проекту решения.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14:paraId="57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</w:t>
      </w:r>
      <w:r>
        <w:rPr>
          <w:sz w:val="28"/>
        </w:rPr>
        <w:t>ль постоянной комиссии Щербаков Н.И.)</w:t>
      </w:r>
    </w:p>
    <w:p w14:paraId="58000000">
      <w:pPr>
        <w:ind/>
        <w:jc w:val="both"/>
        <w:rPr>
          <w:sz w:val="28"/>
        </w:rPr>
      </w:pPr>
    </w:p>
    <w:p w14:paraId="59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И.А. </w:t>
      </w:r>
      <w:r>
        <w:rPr>
          <w:sz w:val="28"/>
        </w:rPr>
        <w:t>Каркалёва</w:t>
      </w:r>
    </w:p>
    <w:p w14:paraId="5B000000">
      <w:pPr>
        <w:ind/>
        <w:jc w:val="both"/>
        <w:rPr>
          <w:sz w:val="28"/>
        </w:rPr>
      </w:pPr>
    </w:p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4397"/>
        <w:gridCol w:w="5297"/>
      </w:tblGrid>
      <w:tr>
        <w:trPr>
          <w:trHeight w:hRule="atLeast" w:val="719"/>
        </w:trPr>
        <w:tc>
          <w:tcPr>
            <w:tcW w:type="dxa" w:w="4397"/>
            <w:shd w:fill="auto" w:val="clear"/>
          </w:tcPr>
          <w:p w14:paraId="60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5297"/>
            <w:shd w:fill="auto" w:val="clear"/>
          </w:tcPr>
          <w:p w14:paraId="61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1 </w:t>
            </w:r>
          </w:p>
          <w:p w14:paraId="62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63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64000000">
      <w:pPr>
        <w:widowControl w:val="0"/>
        <w:ind/>
        <w:jc w:val="both"/>
        <w:rPr>
          <w:sz w:val="28"/>
        </w:rPr>
      </w:pPr>
    </w:p>
    <w:p w14:paraId="65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 xml:space="preserve">Доходы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бюджета за 2022 год </w:t>
      </w:r>
    </w:p>
    <w:p w14:paraId="66000000">
      <w:pPr>
        <w:spacing w:line="216" w:lineRule="auto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67000000">
      <w:pPr>
        <w:widowControl w:val="0"/>
        <w:ind/>
        <w:jc w:val="both"/>
      </w:pPr>
    </w:p>
    <w:tbl>
      <w:tblPr>
        <w:tblStyle w:val="Style_5"/>
        <w:tblLayout w:type="fixed"/>
      </w:tblPr>
      <w:tblGrid>
        <w:gridCol w:w="606"/>
        <w:gridCol w:w="2755"/>
        <w:gridCol w:w="4577"/>
        <w:gridCol w:w="1709"/>
      </w:tblGrid>
      <w:tr>
        <w:trPr>
          <w:trHeight w:hRule="atLeast" w:val="1030"/>
        </w:trPr>
        <w:tc>
          <w:tcPr>
            <w:tcW w:type="dxa" w:w="3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</w:pP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both"/>
            </w:pP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23 689,3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r>
              <w:t>1 00 00000 00 0000 000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14 252,3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r>
              <w:t>1 01 00000 00 0000 000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3 177,6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r>
              <w:t>1 01 02000 01 0000 110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3 177,6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r>
              <w:t>1 01 02010 01 0000 110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</w:t>
            </w:r>
            <w:r>
              <w:rPr>
                <w:sz w:val="28"/>
              </w:rP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2 354,1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keepNext w:val="1"/>
              <w:keepLines w:val="1"/>
              <w:ind/>
            </w:pPr>
            <w:r>
              <w:t xml:space="preserve">1 </w:t>
            </w:r>
            <w:r>
              <w:t>01 02020 01 0000 110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</w:t>
            </w:r>
            <w:r>
              <w:rPr>
                <w:sz w:val="26"/>
              </w:rPr>
              <w:t xml:space="preserve">вокатские кабинеты, и других лиц, занимающихся частной практикой в соответствии со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HYPERLINK "consultantplus://offline/ref=3886373B07D1A1BE96BEC973003F077727948F3930DC0D2F6560E6D5E4473B10C6269013684Bq81CG"</w:instrText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статьей 227</w:t>
            </w:r>
            <w:r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Налогового кодекса Российской Федера</w:t>
            </w:r>
            <w:r>
              <w:rPr>
                <w:sz w:val="26"/>
              </w:rPr>
              <w:t>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>
        <w:trPr>
          <w:trHeight w:hRule="atLeast" w:val="157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keepNext w:val="1"/>
              <w:keepLines w:val="1"/>
              <w:ind/>
            </w:pPr>
            <w:r>
              <w:t>1 01 02030 01 0000 110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"consultantplus://offline/ref=3886373B07D1A1BE96BEC973003F077727948F3930DC0D2F6560E6D5E4473B10C6269011684B813Eq016G"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статьей 228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61,7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keepNext w:val="1"/>
              <w:keepLines w:val="1"/>
              <w:ind/>
            </w:pPr>
            <w:r>
              <w:t>1 01 02080 01 0000 110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749,3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r>
              <w:t xml:space="preserve">1 05 00000 </w:t>
            </w:r>
            <w:r>
              <w:t>00 0000 000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r>
              <w:t>1 05 03000 01 0000 110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r>
              <w:t>1 05 03010 01 0000 110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r>
              <w:t>1 06 00000 00 0000 000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6 247,7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r>
              <w:t xml:space="preserve">1 06 </w:t>
            </w:r>
            <w:r>
              <w:t>01000 00 0000 110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r>
              <w:t>1 06 01030 10 0000 110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r>
              <w:t>1 06 06000 00 0000</w:t>
            </w:r>
            <w:r>
              <w:t xml:space="preserve">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5 926,2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r>
              <w:t>1 06 06030 00 0000 110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r>
              <w:t>1 06 06033 10 0000 110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r>
              <w:t>1 06 06040 00 0000</w:t>
            </w:r>
            <w:r>
              <w:t xml:space="preserve">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r>
              <w:t>1 06 06043 10 0000 110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518,6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r>
              <w:t>1 08 00000 00 0000 000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r>
              <w:t>1 08 04000 01 0000 110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81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r>
              <w:t xml:space="preserve">1 08 04020 01 </w:t>
            </w:r>
            <w:r>
              <w:t>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27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r>
              <w:t xml:space="preserve">1 11 00000 </w:t>
            </w:r>
            <w:r>
              <w:t>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r>
              <w:t>1 11 05000 00 0000 120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sz w:val="28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r>
              <w:t>1 11 05020 00 0000 120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>
              <w:rPr>
                <w:sz w:val="28"/>
              </w:rPr>
              <w:t>бюджетных и автон</w:t>
            </w:r>
            <w:r>
              <w:rPr>
                <w:sz w:val="28"/>
              </w:rPr>
              <w:t>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r>
              <w:t>1 11 05025 10 0000 120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8"/>
              </w:rPr>
              <w:t>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3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r>
              <w:t>1 11 05030 00 0000 120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>
              <w:rPr>
                <w:sz w:val="28"/>
              </w:rPr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r>
              <w:t>1 11 05035 10 0000 120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</w:t>
            </w:r>
            <w:r>
              <w:rPr>
                <w:sz w:val="28"/>
              </w:rPr>
              <w:t xml:space="preserve">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105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r>
              <w:t>1 11 05070 00 0000 120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8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r>
              <w:t>1</w:t>
            </w:r>
            <w:r>
              <w:t xml:space="preserve"> 11 05075 10 0000 120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639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r>
              <w:t>1 13 00000 00 0000 000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341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r>
              <w:t>1 13 02000 00</w:t>
            </w:r>
            <w:r>
              <w:t xml:space="preserve">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r>
              <w:t>1 13 02995 10 0000 130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бюджетов сельских </w:t>
            </w:r>
            <w:r>
              <w:rPr>
                <w:sz w:val="28"/>
              </w:rPr>
              <w:t>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r>
              <w:t>1 16 00000 00 0000 000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ШТРАФЫ, </w:t>
            </w:r>
            <w:r>
              <w:rPr>
                <w:sz w:val="28"/>
              </w:rPr>
              <w:t>САНКЦИИ, ВОЗМЕЩЕНИЕ УЩЕРБА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74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r>
              <w:t>1 16 02000 02 0000 140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48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r>
              <w:t>1 16 02020 02 0000 140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</w:t>
            </w:r>
            <w:r>
              <w:rPr>
                <w:sz w:val="28"/>
              </w:rPr>
              <w:t xml:space="preserve">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r>
              <w:t>2 00 00000 00 0000 000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r>
              <w:t>2 02 00000 00 0000 000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8 511,6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7 967,8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543,8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</w:t>
            </w:r>
            <w:r>
              <w:rPr>
                <w:sz w:val="28"/>
              </w:rPr>
              <w:t>бюджетам бюджетной системы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</w:t>
            </w:r>
            <w:r>
              <w:rPr>
                <w:sz w:val="28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sz w:val="28"/>
              </w:rPr>
              <w:t>где отсутствуют военные комиссариаты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r>
              <w:t>2 02 35118 10 0000 150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r>
              <w:t>2 02 40000 00 0000 150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51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r>
              <w:t>2 02 49999 00 0000 150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r>
              <w:t>2 02 49999 10 0000 150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</w:tbl>
    <w:p w14:paraId="37010000">
      <w:pPr>
        <w:sectPr>
          <w:footerReference r:id="rId2" w:type="default"/>
          <w:pgSz w:h="16838" w:orient="portrait" w:w="11906"/>
          <w:pgMar w:bottom="907" w:footer="709" w:gutter="0" w:header="709" w:left="1361" w:right="851" w:top="1021"/>
        </w:sectPr>
      </w:pPr>
    </w:p>
    <w:tbl>
      <w:tblPr>
        <w:tblStyle w:val="Style_5"/>
        <w:tblLayout w:type="fixed"/>
      </w:tblPr>
      <w:tblGrid>
        <w:gridCol w:w="4082"/>
        <w:gridCol w:w="5726"/>
      </w:tblGrid>
      <w:tr>
        <w:trPr>
          <w:trHeight w:hRule="atLeast" w:val="810"/>
        </w:trPr>
        <w:tc>
          <w:tcPr>
            <w:tcW w:type="dxa" w:w="4082"/>
            <w:shd w:fill="auto" w:val="clear"/>
          </w:tcPr>
          <w:p w14:paraId="38010000">
            <w:pPr>
              <w:rPr>
                <w:sz w:val="28"/>
              </w:rPr>
            </w:pPr>
          </w:p>
        </w:tc>
        <w:tc>
          <w:tcPr>
            <w:tcW w:type="dxa" w:w="5726"/>
            <w:shd w:fill="auto" w:val="clear"/>
          </w:tcPr>
          <w:p w14:paraId="39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  <w:p w14:paraId="3A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C010000">
      <w:pPr>
        <w:rPr>
          <w:sz w:val="28"/>
        </w:rPr>
      </w:pPr>
    </w:p>
    <w:p w14:paraId="3D010000">
      <w:pPr>
        <w:ind/>
        <w:jc w:val="center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ведомственной</w:t>
      </w:r>
      <w:r>
        <w:rPr>
          <w:sz w:val="28"/>
        </w:rPr>
        <w:t xml:space="preserve"> структурой расходов бюджета за 2022 год</w:t>
      </w:r>
      <w:r>
        <w:rPr>
          <w:b w:val="1"/>
          <w:sz w:val="28"/>
        </w:rPr>
        <w:t xml:space="preserve"> </w:t>
      </w:r>
    </w:p>
    <w:p w14:paraId="3E01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Style w:val="Style_5"/>
        <w:tblInd w:type="dxa" w:w="73"/>
        <w:tblLayout w:type="fixed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>
        <w:trPr>
          <w:trHeight w:hRule="atLeast" w:val="270"/>
        </w:trPr>
        <w:tc>
          <w:tcPr>
            <w:tcW w:type="dxa" w:w="5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Код главы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Кассовое исполнение</w:t>
            </w:r>
          </w:p>
          <w:p w14:paraId="4601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5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</w:p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7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r>
              <w:t>ИТОГО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</w:pPr>
            <w:r>
              <w:t>24 074,1</w:t>
            </w:r>
          </w:p>
        </w:tc>
      </w:tr>
      <w:tr>
        <w:trPr>
          <w:trHeight w:hRule="atLeast" w:val="49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23 888,7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10000"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  <w:r>
              <w:t>9 624,2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1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местных администраций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9 269,0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35,9</w:t>
            </w:r>
          </w:p>
        </w:tc>
      </w:tr>
      <w:tr>
        <w:trPr>
          <w:trHeight w:hRule="atLeast" w:val="55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</w:pPr>
            <w:r>
              <w:t>7 692,0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1 486,0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10000">
            <w:r>
              <w:t xml:space="preserve">Расходы по диспансеризации муниципальных служащих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</w:pPr>
            <w:r>
              <w:t>17,7</w:t>
            </w:r>
          </w:p>
        </w:tc>
      </w:tr>
      <w:tr>
        <w:trPr>
          <w:trHeight w:hRule="atLeast" w:val="1098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</w:t>
            </w:r>
            <w:r>
              <w:t>жей)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10000"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</w:pPr>
            <w:r>
              <w:t>355,2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both"/>
            </w:pPr>
            <w:r>
              <w:t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t>1,9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1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3010000">
            <w:r>
              <w:t xml:space="preserve">Создание и развитие </w:t>
            </w:r>
            <w:r>
              <w:t>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</w:pPr>
            <w:r>
              <w:t>223,6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3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1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 поселения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1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</w:pPr>
            <w:r>
              <w:t>74,3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F01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</w:t>
            </w:r>
            <w:r>
              <w:t>я(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</w:pPr>
            <w:r>
              <w:t>19,4</w:t>
            </w:r>
          </w:p>
        </w:tc>
      </w:tr>
      <w:tr>
        <w:trPr>
          <w:trHeight w:hRule="atLeast" w:val="3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601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10000">
            <w:r>
              <w:t>НАЦИОНАЛЬНАЯ ОБОРОНА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  <w:rPr>
                <w:highlight w:val="yellow"/>
              </w:rPr>
            </w:pPr>
            <w:r>
              <w:t>255,4</w:t>
            </w:r>
          </w:p>
        </w:tc>
      </w:tr>
      <w:tr>
        <w:trPr>
          <w:trHeight w:hRule="atLeast" w:val="18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10000">
            <w:r>
              <w:t>Мобилизационная и вневойсковая подготовка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</w:pPr>
            <w:r>
              <w:t>255,4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10000">
            <w:r>
              <w:rPr>
                <w:color w:val="000000"/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249,5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left"/>
            </w:pPr>
            <w:r>
              <w:rPr>
                <w:color w:val="000000"/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 xml:space="preserve">240 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46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70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10000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5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10000">
            <w:r>
              <w:t>Национальная экономика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5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1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(Иные закупки товаров, работ и услуг для обеспечения государственных (муниципальны</w:t>
            </w:r>
            <w:r>
              <w:t>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r>
              <w:t>Жилищно-коммунальное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  <w:r>
              <w:t>2 110,2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r>
              <w:t>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20000">
            <w:r>
              <w:t>Благоустройство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t>2 104,2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both"/>
              <w:outlineLvl w:val="4"/>
              <w:rPr>
                <w:highlight w:val="magenta"/>
              </w:rPr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357,3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6020000">
            <w:pPr>
              <w:pStyle w:val="Style_6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</w:t>
            </w:r>
            <w:r>
              <w:rPr>
                <w:rFonts w:ascii="Times New Roman" w:hAnsi="Times New Roman"/>
                <w:sz w:val="24"/>
              </w:rPr>
              <w:t xml:space="preserve">кладбищ </w:t>
            </w:r>
            <w:r>
              <w:rPr>
                <w:rFonts w:ascii="Times New Roman" w:hAnsi="Times New Roman"/>
              </w:rPr>
              <w:t xml:space="preserve">в рамках подпрограммы «Содержание объектов благоустройства </w:t>
            </w:r>
            <w:r>
              <w:rPr>
                <w:rFonts w:ascii="Times New Roman" w:hAnsi="Times New Roman"/>
              </w:rPr>
              <w:t>Кринично-Лугского</w:t>
            </w:r>
            <w:r>
              <w:rPr>
                <w:rFonts w:ascii="Times New Roman" w:hAnsi="Times New Roman"/>
              </w:rPr>
              <w:t xml:space="preserve"> сельского поселения» муниципальной программы «Обеспечение качественными жилищно-коммунальными услугами населен</w:t>
            </w:r>
            <w:r>
              <w:rPr>
                <w:rFonts w:ascii="Times New Roman" w:hAnsi="Times New Roman"/>
              </w:rPr>
              <w:t xml:space="preserve">ия </w:t>
            </w:r>
            <w:r>
              <w:rPr>
                <w:rFonts w:ascii="Times New Roman" w:hAnsi="Times New Roman"/>
              </w:rPr>
              <w:t>Кринично-Лугского</w:t>
            </w:r>
            <w:r>
              <w:rPr>
                <w:rFonts w:ascii="Times New Roman" w:hAnsi="Times New Roman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181,5</w:t>
            </w:r>
          </w:p>
        </w:tc>
      </w:tr>
      <w:tr>
        <w:trPr>
          <w:trHeight w:hRule="atLeast" w:val="36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D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104,4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2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1 300,0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2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20000">
            <w:pPr>
              <w:rPr>
                <w:highlight w:val="yellow"/>
              </w:rPr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150,0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20000">
            <w: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20000">
            <w:r>
              <w:t>Охрана окружающей среды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20000">
            <w:r>
              <w:t>Сбор, удаление отходов и очистка сточных вод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2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5020000">
            <w:r>
              <w:t>ОБРАЗОВАНИЕ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2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</w:t>
            </w:r>
            <w:r>
              <w:t>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20000">
            <w:r>
              <w:t>КУЛЬТУРА И КИНЕМАТОГРАФИЯ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20000">
            <w:r>
              <w:t>Культура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64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8020000">
            <w:r>
              <w:rPr>
                <w:sz w:val="22"/>
              </w:rP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rPr>
                <w:sz w:val="22"/>
              </w:rPr>
              <w:t>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20000">
            <w:r>
              <w:t>СОЦИАЛЬНАЯ ПОЛИТИКА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20000">
            <w:r>
              <w:t>Пенсионное обеспечение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D020000">
            <w:r>
              <w:t xml:space="preserve">Расходы на выплату пенсии за выслугу лет лицам, замещающим </w:t>
            </w:r>
            <w:r>
              <w:t xml:space="preserve">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20000">
            <w:r>
              <w:t>ФИЗИЧЕСКАЯ КУЛЬТУРА И СПОРТ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20000">
            <w:r>
              <w:t>Другие вопросы в области физической культуры и спорта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20000">
            <w:r>
              <w:t xml:space="preserve">Расходы на физическое воспитание,  </w:t>
            </w:r>
            <w:r>
              <w:t xml:space="preserve">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</w:t>
            </w:r>
            <w:r>
              <w:rPr>
                <w:sz w:val="22"/>
              </w:rPr>
              <w:t>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20000">
            <w:r>
              <w:t xml:space="preserve">Функционирование законодательных </w:t>
            </w:r>
            <w:r>
              <w:t xml:space="preserve">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t>178,5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6,9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20000">
            <w:r>
              <w:t>всего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</w:pPr>
            <w:r>
              <w:t>24 074,1</w:t>
            </w:r>
          </w:p>
        </w:tc>
      </w:tr>
    </w:tbl>
    <w:p w14:paraId="EC020000">
      <w:pPr>
        <w:tabs>
          <w:tab w:leader="none" w:pos="1185" w:val="left"/>
        </w:tabs>
        <w:ind/>
        <w:rPr>
          <w:sz w:val="28"/>
        </w:rPr>
      </w:pPr>
    </w:p>
    <w:p w14:paraId="ED020000">
      <w:pPr>
        <w:tabs>
          <w:tab w:leader="none" w:pos="1185" w:val="left"/>
        </w:tabs>
        <w:ind/>
        <w:rPr>
          <w:sz w:val="28"/>
        </w:rPr>
      </w:pPr>
    </w:p>
    <w:p w14:paraId="EE020000">
      <w:pPr>
        <w:tabs>
          <w:tab w:leader="none" w:pos="1185" w:val="left"/>
        </w:tabs>
        <w:ind/>
        <w:rPr>
          <w:sz w:val="28"/>
        </w:rPr>
      </w:pPr>
    </w:p>
    <w:p w14:paraId="EF020000">
      <w:pPr>
        <w:tabs>
          <w:tab w:leader="none" w:pos="1185" w:val="left"/>
        </w:tabs>
        <w:ind/>
        <w:rPr>
          <w:sz w:val="28"/>
        </w:rPr>
      </w:pPr>
    </w:p>
    <w:p w14:paraId="F0020000">
      <w:pPr>
        <w:tabs>
          <w:tab w:leader="none" w:pos="1185" w:val="left"/>
        </w:tabs>
        <w:ind/>
        <w:rPr>
          <w:sz w:val="28"/>
        </w:rPr>
      </w:pPr>
    </w:p>
    <w:p w14:paraId="F1020000">
      <w:pPr>
        <w:rPr>
          <w:sz w:val="28"/>
        </w:rPr>
      </w:pPr>
    </w:p>
    <w:p w14:paraId="F2020000">
      <w:pPr>
        <w:rPr>
          <w:sz w:val="28"/>
        </w:rPr>
      </w:pPr>
    </w:p>
    <w:p w14:paraId="F3020000">
      <w:pPr>
        <w:rPr>
          <w:sz w:val="28"/>
        </w:rPr>
      </w:pPr>
    </w:p>
    <w:p w14:paraId="F4020000">
      <w:pPr>
        <w:rPr>
          <w:sz w:val="28"/>
        </w:rPr>
      </w:pPr>
    </w:p>
    <w:p w14:paraId="F5020000">
      <w:pPr>
        <w:rPr>
          <w:sz w:val="28"/>
        </w:rPr>
      </w:pPr>
    </w:p>
    <w:p w14:paraId="F6020000">
      <w:pPr>
        <w:rPr>
          <w:sz w:val="28"/>
        </w:rPr>
      </w:pPr>
    </w:p>
    <w:p w14:paraId="F7020000">
      <w:pPr>
        <w:rPr>
          <w:sz w:val="28"/>
        </w:rPr>
      </w:pPr>
    </w:p>
    <w:p w14:paraId="F8020000">
      <w:pPr>
        <w:rPr>
          <w:sz w:val="28"/>
        </w:rPr>
      </w:pPr>
      <w:bookmarkStart w:id="1" w:name="_GoBack"/>
      <w:bookmarkEnd w:id="1"/>
    </w:p>
    <w:tbl>
      <w:tblPr>
        <w:tblStyle w:val="Style_5"/>
        <w:tblInd w:type="dxa" w:w="108"/>
        <w:tblLayout w:type="fixed"/>
      </w:tblPr>
      <w:tblGrid>
        <w:gridCol w:w="4395"/>
        <w:gridCol w:w="5244"/>
      </w:tblGrid>
      <w:tr>
        <w:trPr>
          <w:trHeight w:hRule="atLeast" w:val="810"/>
        </w:trPr>
        <w:tc>
          <w:tcPr>
            <w:tcW w:type="dxa" w:w="4395"/>
            <w:shd w:fill="auto" w:val="clear"/>
          </w:tcPr>
          <w:p w14:paraId="F9020000">
            <w:pPr>
              <w:rPr>
                <w:sz w:val="28"/>
              </w:rPr>
            </w:pPr>
          </w:p>
        </w:tc>
        <w:tc>
          <w:tcPr>
            <w:tcW w:type="dxa" w:w="5244"/>
            <w:shd w:fill="auto" w:val="clear"/>
          </w:tcPr>
          <w:p w14:paraId="FA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14:paraId="FB020000">
            <w:pPr>
              <w:widowControl w:val="0"/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к проекту решения Собрания депутатов  </w:t>
            </w:r>
          </w:p>
          <w:p w14:paraId="FC020000">
            <w:pPr>
              <w:ind/>
              <w:jc w:val="right"/>
              <w:rPr>
                <w:sz w:val="28"/>
              </w:rPr>
            </w:pPr>
            <w:r>
              <w:rPr>
                <w:sz w:val="26"/>
              </w:rPr>
              <w:t>Кринично-Лугского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</w:tbl>
    <w:p w14:paraId="FD020000">
      <w:pPr>
        <w:rPr>
          <w:sz w:val="28"/>
        </w:rPr>
      </w:pPr>
    </w:p>
    <w:p w14:paraId="FE020000">
      <w:pPr>
        <w:ind/>
        <w:jc w:val="center"/>
        <w:rPr>
          <w:sz w:val="26"/>
        </w:rPr>
      </w:pPr>
      <w:r>
        <w:rPr>
          <w:sz w:val="26"/>
        </w:rPr>
        <w:t xml:space="preserve">Расходы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по разделам и подразделам классификации расходов бюджетов Российской Федерации за 2022 год</w:t>
      </w:r>
    </w:p>
    <w:p w14:paraId="FF020000">
      <w:pPr>
        <w:ind/>
        <w:jc w:val="center"/>
        <w:rPr>
          <w:sz w:val="28"/>
        </w:rPr>
      </w:pPr>
      <w:r>
        <w:rPr>
          <w:sz w:val="28"/>
        </w:rPr>
        <w:t xml:space="preserve">      </w:t>
      </w:r>
    </w:p>
    <w:p w14:paraId="00030000">
      <w:pPr>
        <w:tabs>
          <w:tab w:leader="none" w:pos="7785" w:val="left"/>
        </w:tabs>
        <w:ind/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8"/>
        <w:gridCol w:w="537"/>
        <w:gridCol w:w="699"/>
        <w:gridCol w:w="1571"/>
      </w:tblGrid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Наименование</w:t>
            </w:r>
          </w:p>
          <w:p w14:paraId="02030000"/>
          <w:p w14:paraId="03030000"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Рз</w:t>
            </w:r>
            <w:r>
              <w:t>.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Пр.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r>
              <w:t>ИТОГО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right"/>
            </w:pPr>
            <w:r>
              <w:t>24 074,1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r>
              <w:t>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right"/>
            </w:pPr>
            <w:r>
              <w:t>9 809,6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ind/>
              <w:jc w:val="right"/>
            </w:pPr>
            <w:r>
              <w:t>185,4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r>
              <w:t xml:space="preserve">Функционирование </w:t>
            </w:r>
            <w:r>
              <w:t>Правительства Российской Федерации высших исполнительных органов государственной  власти с</w:t>
            </w:r>
            <w:r>
              <w:t>убъектов Российской</w:t>
            </w:r>
            <w:r>
              <w:t xml:space="preserve"> Федерации, местных администраций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04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ind/>
              <w:jc w:val="right"/>
            </w:pPr>
            <w:r>
              <w:t>9 269,0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r>
              <w:t>Другие 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13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ind/>
              <w:jc w:val="right"/>
            </w:pPr>
            <w:r>
              <w:t>355,2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r>
              <w:t>НАЦИОНАЛЬНАЯ  ОБОРОНА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r>
              <w:t>Мобилизационная и вневойсковая подготовка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10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r>
              <w:t>НАЦИОНАЛЬНАЯ ЭКОНОМИКА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r>
              <w:t>12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keepNext w:val="1"/>
              <w:keepLines w:val="1"/>
              <w:ind/>
              <w:outlineLvl w:val="0"/>
            </w:pPr>
            <w:r>
              <w:t>ЖИЛИЩНО-КОММУНАЛЬНОЕ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ind/>
              <w:jc w:val="right"/>
            </w:pPr>
            <w:r>
              <w:t>2 110,2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keepNext w:val="1"/>
              <w:keepLines w:val="1"/>
              <w:ind/>
              <w:outlineLvl w:val="0"/>
            </w:pPr>
            <w:r>
              <w:t>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ind/>
              <w:jc w:val="right"/>
            </w:pPr>
            <w:r>
              <w:t>6,0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r>
              <w:t>Благоустройство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right"/>
            </w:pPr>
            <w:r>
              <w:t>2 104,2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r>
              <w:t>Охрана окружающей среды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r>
              <w:t>Сбор, удаление отходов и очистка сточных вод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r>
              <w:t>ОБРАЗОВАНИЕ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r>
              <w:t>КУЛЬТУРА, КИНЕМАТОГРАФИЯ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right"/>
            </w:pPr>
            <w:r>
              <w:t>11 659,6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r>
              <w:t>Культура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right"/>
            </w:pPr>
            <w:r>
              <w:t>11 659,6</w:t>
            </w:r>
          </w:p>
        </w:tc>
      </w:tr>
      <w:tr>
        <w:trPr>
          <w:trHeight w:hRule="atLeast" w:val="220"/>
          <w:hidden w:val="0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r>
              <w:t>СОЦИАЛЬНАЯ ПОЛИТИКА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right"/>
            </w:pPr>
            <w:r>
              <w:t>154,0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r>
              <w:t>Пенсионное обеспечение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right"/>
            </w:pPr>
            <w:r>
              <w:t>154,0</w:t>
            </w:r>
          </w:p>
        </w:tc>
      </w:tr>
      <w:tr>
        <w:trPr>
          <w:trHeight w:hRule="atLeast" w:val="329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ind/>
              <w:jc w:val="right"/>
            </w:pPr>
            <w:r>
              <w:t>9,4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ind/>
              <w:jc w:val="right"/>
            </w:pPr>
            <w:r>
              <w:t>9,4</w:t>
            </w:r>
          </w:p>
        </w:tc>
      </w:tr>
    </w:tbl>
    <w:p w14:paraId="6B030000">
      <w:pPr>
        <w:rPr>
          <w:sz w:val="28"/>
        </w:rPr>
      </w:pPr>
    </w:p>
    <w:p w14:paraId="6C030000">
      <w:pPr>
        <w:rPr>
          <w:sz w:val="28"/>
        </w:rPr>
      </w:pPr>
    </w:p>
    <w:p w14:paraId="6D030000">
      <w:pPr>
        <w:rPr>
          <w:sz w:val="28"/>
        </w:rPr>
      </w:pPr>
    </w:p>
    <w:p w14:paraId="6E030000">
      <w:pPr>
        <w:rPr>
          <w:sz w:val="28"/>
        </w:rPr>
      </w:pPr>
    </w:p>
    <w:p w14:paraId="6F030000">
      <w:pPr>
        <w:rPr>
          <w:sz w:val="28"/>
        </w:rPr>
      </w:pPr>
    </w:p>
    <w:p w14:paraId="70030000">
      <w:pPr>
        <w:rPr>
          <w:sz w:val="28"/>
        </w:rPr>
      </w:pPr>
    </w:p>
    <w:tbl>
      <w:tblPr>
        <w:tblStyle w:val="Style_5"/>
        <w:tblInd w:type="dxa" w:w="392"/>
        <w:tblLayout w:type="fixed"/>
      </w:tblPr>
      <w:tblGrid>
        <w:gridCol w:w="4210"/>
        <w:gridCol w:w="5206"/>
      </w:tblGrid>
      <w:tr>
        <w:trPr>
          <w:trHeight w:hRule="atLeast" w:val="810"/>
        </w:trPr>
        <w:tc>
          <w:tcPr>
            <w:tcW w:type="dxa" w:w="4210"/>
            <w:shd w:fill="auto" w:val="clear"/>
          </w:tcPr>
          <w:p w14:paraId="71030000">
            <w:pPr>
              <w:rPr>
                <w:sz w:val="28"/>
              </w:rPr>
            </w:pPr>
          </w:p>
        </w:tc>
        <w:tc>
          <w:tcPr>
            <w:tcW w:type="dxa" w:w="5206"/>
            <w:shd w:fill="auto" w:val="clear"/>
          </w:tcPr>
          <w:p w14:paraId="72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4 </w:t>
            </w:r>
          </w:p>
          <w:p w14:paraId="7303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7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5030000">
      <w:pPr>
        <w:ind/>
        <w:jc w:val="center"/>
        <w:rPr>
          <w:sz w:val="28"/>
        </w:rPr>
      </w:pPr>
    </w:p>
    <w:p w14:paraId="76030000">
      <w:pPr>
        <w:spacing w:line="216" w:lineRule="auto"/>
        <w:ind/>
        <w:jc w:val="center"/>
        <w:rPr>
          <w:b w:val="1"/>
          <w:sz w:val="28"/>
        </w:rPr>
      </w:pPr>
      <w:r>
        <w:rPr>
          <w:sz w:val="28"/>
        </w:rPr>
        <w:t xml:space="preserve">Источники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 2022 год</w:t>
      </w:r>
      <w:r>
        <w:rPr>
          <w:b w:val="1"/>
          <w:sz w:val="28"/>
        </w:rPr>
        <w:t xml:space="preserve"> </w:t>
      </w:r>
    </w:p>
    <w:p w14:paraId="77030000">
      <w:pPr>
        <w:ind/>
        <w:jc w:val="center"/>
        <w:rPr>
          <w:sz w:val="28"/>
        </w:rPr>
      </w:pPr>
    </w:p>
    <w:tbl>
      <w:tblPr>
        <w:tblStyle w:val="Style_5"/>
        <w:tblInd w:type="dxa" w:w="288"/>
        <w:tblLayout w:type="fixed"/>
      </w:tblPr>
      <w:tblGrid>
        <w:gridCol w:w="3993"/>
        <w:gridCol w:w="4136"/>
        <w:gridCol w:w="1391"/>
      </w:tblGrid>
      <w:tr>
        <w:trPr>
          <w:trHeight w:hRule="atLeast" w:val="375"/>
        </w:trPr>
        <w:tc>
          <w:tcPr>
            <w:tcW w:type="dxa" w:w="9520"/>
            <w:gridSpan w:val="3"/>
            <w:shd w:fill="auto" w:val="clear"/>
            <w:vAlign w:val="bottom"/>
          </w:tcPr>
          <w:p w14:paraId="7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БЮДЖЕТОВ, ВСЕГО  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652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951 01  00  00  00  00  0000  000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</w:t>
            </w:r>
            <w:r>
              <w:rPr>
                <w:sz w:val="28"/>
              </w:rPr>
              <w:t>финансирования дефицитов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2030000">
            <w:pPr>
              <w:rPr>
                <w:sz w:val="28"/>
              </w:rPr>
            </w:pPr>
            <w:r>
              <w:rPr>
                <w:sz w:val="28"/>
              </w:rPr>
              <w:t>951 01  05  00  00  00  0000  000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951 01  05  00  00  00  0000  500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 xml:space="preserve">951 01  05  02  00  00  </w:t>
            </w:r>
            <w:r>
              <w:rPr>
                <w:sz w:val="28"/>
              </w:rPr>
              <w:t>0000  500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54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B030000">
            <w:pPr>
              <w:rPr>
                <w:sz w:val="28"/>
              </w:rPr>
            </w:pPr>
            <w:r>
              <w:rPr>
                <w:sz w:val="28"/>
              </w:rPr>
              <w:t>951 01  05  02  01  00  0000  510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C03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E030000">
            <w:pPr>
              <w:rPr>
                <w:sz w:val="28"/>
              </w:rPr>
            </w:pPr>
            <w:r>
              <w:rPr>
                <w:sz w:val="28"/>
              </w:rPr>
              <w:t>951 01  05  02  01  10  0000  510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F030000">
            <w:pPr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 бюджетов </w:t>
            </w:r>
            <w:r>
              <w:rPr>
                <w:sz w:val="28"/>
              </w:rPr>
              <w:t>сельских 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951 01  05  00  00  00  0000  600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203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4030000">
            <w:pPr>
              <w:rPr>
                <w:sz w:val="28"/>
              </w:rPr>
            </w:pPr>
            <w:r>
              <w:rPr>
                <w:sz w:val="28"/>
              </w:rPr>
              <w:t>951 01  05  02  00  00  0000  600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503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7030000">
            <w:pPr>
              <w:rPr>
                <w:sz w:val="28"/>
              </w:rPr>
            </w:pPr>
            <w:r>
              <w:rPr>
                <w:sz w:val="28"/>
              </w:rPr>
              <w:t>951 01  05  02  01  00  0000  610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8030000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>951 01  05  02  01  10  0000  610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B03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</w:tbl>
    <w:p w14:paraId="9D030000">
      <w:pPr>
        <w:sectPr>
          <w:footerReference r:id="rId1" w:type="default"/>
          <w:pgSz w:h="16838" w:orient="portrait" w:w="11906"/>
          <w:pgMar w:bottom="851" w:footer="709" w:gutter="0" w:header="709" w:left="1418" w:right="680" w:top="1134"/>
        </w:sectPr>
      </w:pPr>
    </w:p>
    <w:p w14:paraId="9E030000">
      <w:pPr>
        <w:tabs>
          <w:tab w:leader="none" w:pos="390" w:val="left"/>
          <w:tab w:leader="none" w:pos="5525" w:val="left"/>
          <w:tab w:leader="none" w:pos="6192" w:val="left"/>
          <w:tab w:leader="none" w:pos="6581" w:val="left"/>
          <w:tab w:leader="none" w:pos="7382" w:val="left"/>
          <w:tab w:leader="none" w:pos="7747" w:val="left"/>
          <w:tab w:leader="none" w:pos="8438" w:val="left"/>
          <w:tab w:leader="none" w:pos="9216" w:val="left"/>
          <w:tab w:leader="none" w:pos="9994" w:val="left"/>
        </w:tabs>
        <w:ind/>
        <w:jc w:val="right"/>
        <w:rPr>
          <w:sz w:val="28"/>
        </w:rPr>
      </w:pPr>
      <w:r>
        <w:rPr>
          <w:sz w:val="28"/>
        </w:rPr>
        <w:t xml:space="preserve">Приложение 2 </w:t>
      </w:r>
    </w:p>
    <w:p w14:paraId="9F03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к решению Собрания депутатов  </w:t>
      </w:r>
    </w:p>
    <w:p w14:paraId="A0030000">
      <w:pPr>
        <w:widowControl w:val="0"/>
        <w:ind/>
        <w:jc w:val="right"/>
        <w:rPr>
          <w:b w:val="1"/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A1030000">
      <w:pPr>
        <w:ind/>
        <w:jc w:val="right"/>
        <w:rPr>
          <w:sz w:val="28"/>
        </w:rPr>
      </w:pPr>
      <w:r>
        <w:rPr>
          <w:sz w:val="28"/>
        </w:rPr>
        <w:t xml:space="preserve"> от 00.03.2023  № 00 </w:t>
      </w:r>
    </w:p>
    <w:p w14:paraId="A2030000">
      <w:pPr>
        <w:ind/>
        <w:jc w:val="both"/>
        <w:rPr>
          <w:b w:val="1"/>
          <w:sz w:val="28"/>
        </w:rPr>
      </w:pPr>
    </w:p>
    <w:p w14:paraId="A303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A403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учета предложений о проекте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и назначении публичных слушаний</w:t>
      </w:r>
    </w:p>
    <w:p w14:paraId="A5030000">
      <w:pPr>
        <w:ind/>
        <w:jc w:val="both"/>
        <w:rPr>
          <w:sz w:val="28"/>
        </w:rPr>
      </w:pPr>
    </w:p>
    <w:p w14:paraId="A6030000">
      <w:pPr>
        <w:keepNext w:val="1"/>
        <w:keepLines w:val="1"/>
        <w:widowControl w:val="0"/>
        <w:ind w:firstLine="720" w:left="0"/>
        <w:jc w:val="both"/>
        <w:rPr>
          <w:sz w:val="28"/>
        </w:rPr>
      </w:pPr>
      <w:r>
        <w:rPr>
          <w:sz w:val="28"/>
        </w:rPr>
        <w:t xml:space="preserve">1. Предложения об изменении и дополнении по проекту 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2022год и назначении публичных слушаний» направляются  в письменном  или </w:t>
      </w:r>
      <w:r>
        <w:rPr>
          <w:sz w:val="28"/>
        </w:rPr>
        <w:t xml:space="preserve"> электронном виде Председателю Собрания депутатов - главе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Ирине Александровне </w:t>
      </w:r>
      <w:r>
        <w:rPr>
          <w:sz w:val="28"/>
        </w:rPr>
        <w:t>Каркалёвой</w:t>
      </w:r>
      <w:r>
        <w:rPr>
          <w:sz w:val="28"/>
        </w:rPr>
        <w:t xml:space="preserve"> в Администрацию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</w:t>
      </w:r>
      <w:r>
        <w:rPr>
          <w:sz w:val="28"/>
        </w:rPr>
        <w:t>ул</w:t>
      </w:r>
      <w:r>
        <w:rPr>
          <w:sz w:val="28"/>
        </w:rPr>
        <w:t>.С</w:t>
      </w:r>
      <w:r>
        <w:rPr>
          <w:sz w:val="28"/>
        </w:rPr>
        <w:t>оветская</w:t>
      </w:r>
      <w:r>
        <w:rPr>
          <w:sz w:val="28"/>
        </w:rPr>
        <w:t xml:space="preserve">, 5а, х. </w:t>
      </w:r>
      <w:r>
        <w:rPr>
          <w:sz w:val="28"/>
        </w:rPr>
        <w:t>Кринично-Лугский</w:t>
      </w:r>
      <w:r>
        <w:rPr>
          <w:sz w:val="28"/>
        </w:rPr>
        <w:t xml:space="preserve"> , Куйбышевский  район, Ростовская область, 346942, </w:t>
      </w:r>
      <w:r>
        <w:rPr>
          <w:sz w:val="28"/>
        </w:rPr>
        <w:t>в раб</w:t>
      </w:r>
      <w:r>
        <w:rPr>
          <w:sz w:val="28"/>
        </w:rPr>
        <w:t>о</w:t>
      </w:r>
      <w:r>
        <w:rPr>
          <w:sz w:val="28"/>
        </w:rPr>
        <w:t>чие дни, с 08.00 до 16.12 часов (перерыв с 12.00-13.0</w:t>
      </w:r>
      <w:r>
        <w:rPr>
          <w:sz w:val="28"/>
        </w:rPr>
        <w:t>0), телефон для справок</w:t>
      </w:r>
      <w:r>
        <w:rPr>
          <w:sz w:val="28"/>
        </w:rPr>
        <w:t xml:space="preserve"> 8(86348)35</w:t>
      </w:r>
      <w:r>
        <w:rPr>
          <w:sz w:val="28"/>
        </w:rPr>
        <w:t xml:space="preserve">-4-89, электронная почта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"mailto:admkrlsp2006@mail.ru"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admkrlsp2006@mail.ru</w:t>
      </w:r>
      <w:r>
        <w:rPr>
          <w:rStyle w:val="Style_7_ch"/>
          <w:sz w:val="28"/>
        </w:rPr>
        <w:fldChar w:fldCharType="end"/>
      </w:r>
      <w:r>
        <w:rPr>
          <w:sz w:val="28"/>
        </w:rPr>
        <w:t>)  в течение 10 дней со дня официального опубликования указанного проекта.</w:t>
      </w:r>
    </w:p>
    <w:p w14:paraId="A7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2. </w:t>
      </w:r>
      <w:r>
        <w:rPr>
          <w:sz w:val="28"/>
        </w:rPr>
        <w:t>Поступившие  от населения  замечания  и предложения по проекту решения Собрания депутатов</w:t>
      </w:r>
      <w:r>
        <w:rPr>
          <w:sz w:val="28"/>
        </w:rPr>
        <w:t xml:space="preserve">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 рассматриваются на заседании постоянной комиссии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</w:t>
      </w:r>
      <w:r>
        <w:rPr>
          <w:sz w:val="28"/>
        </w:rPr>
        <w:t xml:space="preserve">бюджету, налогам и собственности или на заседании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  <w:r>
        <w:rPr>
          <w:sz w:val="28"/>
        </w:rPr>
        <w:t xml:space="preserve"> На их основе депутатами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могут быть  внесены  поправки к проекту решения Собрания депутато</w:t>
      </w:r>
      <w:r>
        <w:rPr>
          <w:sz w:val="28"/>
        </w:rPr>
        <w:t xml:space="preserve">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слушаний».</w:t>
      </w:r>
    </w:p>
    <w:p w14:paraId="A803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 Граждане участвуют в обсуждении проекта решения Собрания депутатов «Об утверждении отчета исполнения </w:t>
      </w:r>
      <w:r>
        <w:rPr>
          <w:sz w:val="28"/>
        </w:rPr>
        <w:t xml:space="preserve">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 посредством:</w:t>
      </w:r>
    </w:p>
    <w:p w14:paraId="A9030000">
      <w:pPr>
        <w:sectPr>
          <w:pgSz w:h="16838" w:orient="portrait" w:w="11906"/>
          <w:pgMar w:bottom="851" w:footer="709" w:gutter="0" w:header="709" w:left="1418" w:right="680" w:top="1134"/>
        </w:sectPr>
      </w:pPr>
    </w:p>
    <w:p w14:paraId="AA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участия  в публичных слушаниях по проекту решения Собрания депутатов «Об утверждении отчета исполнения бюджета </w:t>
      </w:r>
      <w:r>
        <w:rPr>
          <w:sz w:val="28"/>
        </w:rPr>
        <w:t>Кринично-Лугског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слушаний»;</w:t>
      </w:r>
    </w:p>
    <w:p w14:paraId="AB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участия  в заседаниях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поселения, на которых рассматривается  вопрос о проекте 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слушаний».</w:t>
      </w:r>
    </w:p>
    <w:p w14:paraId="AC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4. Публичные слушания</w:t>
      </w:r>
      <w:r>
        <w:rPr>
          <w:sz w:val="28"/>
        </w:rPr>
        <w:t xml:space="preserve">  по проекту 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 проводятся  в порядке, установленном Уставом муниципального образовани</w:t>
      </w:r>
      <w:r>
        <w:rPr>
          <w:sz w:val="28"/>
        </w:rPr>
        <w:t>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и решениями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AD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5. Допуск граждан на заседание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его постоянной  комиссии осуществляется  в порядке, у</w:t>
      </w:r>
      <w:r>
        <w:rPr>
          <w:sz w:val="28"/>
        </w:rPr>
        <w:t xml:space="preserve">становленном  Регламентом 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 </w:t>
      </w:r>
    </w:p>
    <w:p w14:paraId="AE030000">
      <w:pPr>
        <w:ind w:firstLine="567" w:left="0"/>
        <w:jc w:val="both"/>
        <w:rPr>
          <w:sz w:val="28"/>
        </w:rPr>
      </w:pPr>
    </w:p>
    <w:p w14:paraId="AF030000">
      <w:pPr>
        <w:ind/>
        <w:jc w:val="both"/>
        <w:rPr>
          <w:sz w:val="28"/>
        </w:rPr>
      </w:pPr>
      <w:r>
        <w:rPr>
          <w:sz w:val="28"/>
        </w:rPr>
        <w:t xml:space="preserve"> Председатель Собрания депутатов  </w:t>
      </w:r>
    </w:p>
    <w:p w14:paraId="B0030000">
      <w:pPr>
        <w:ind/>
        <w:jc w:val="both"/>
        <w:rPr>
          <w:b w:val="1"/>
          <w:sz w:val="28"/>
        </w:rPr>
      </w:pPr>
      <w:r>
        <w:rPr>
          <w:sz w:val="28"/>
        </w:rPr>
        <w:t xml:space="preserve">- 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B1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2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3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4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5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6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7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8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9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A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B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C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D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E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F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0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1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2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3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4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5030000">
      <w:pPr>
        <w:ind/>
        <w:jc w:val="center"/>
        <w:rPr>
          <w:sz w:val="28"/>
        </w:rPr>
      </w:pPr>
    </w:p>
    <w:p w14:paraId="C6030000">
      <w:pPr>
        <w:ind/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14:paraId="C7030000">
      <w:pPr>
        <w:ind/>
        <w:jc w:val="center"/>
        <w:rPr>
          <w:sz w:val="28"/>
        </w:rPr>
      </w:pPr>
      <w:r>
        <w:rPr>
          <w:sz w:val="28"/>
        </w:rPr>
        <w:t xml:space="preserve">к проекту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</w:t>
      </w:r>
    </w:p>
    <w:p w14:paraId="C8030000">
      <w:pPr>
        <w:pStyle w:val="Style_8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Отчет об исполнении 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 Куйбышевского района за 2022 год п</w:t>
      </w:r>
      <w:r>
        <w:rPr>
          <w:rFonts w:ascii="Times New Roman" w:hAnsi="Times New Roman"/>
          <w:b w:val="0"/>
          <w:sz w:val="28"/>
        </w:rPr>
        <w:t>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</w:t>
      </w:r>
      <w:r>
        <w:rPr>
          <w:rFonts w:ascii="Times New Roman" w:hAnsi="Times New Roman"/>
          <w:b w:val="0"/>
          <w:sz w:val="28"/>
        </w:rPr>
        <w:t>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>
        <w:rPr>
          <w:rFonts w:ascii="Times New Roman" w:hAnsi="Times New Roman"/>
          <w:b w:val="0"/>
          <w:sz w:val="28"/>
        </w:rPr>
        <w:t xml:space="preserve"> № 191н.</w:t>
      </w:r>
    </w:p>
    <w:p w14:paraId="C9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Одновременно с годовым отчетом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предоставляются:</w:t>
      </w:r>
    </w:p>
    <w:p w14:paraId="CA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проект решения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 2022 год;</w:t>
      </w:r>
    </w:p>
    <w:p w14:paraId="CB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пояснительная записка к проекту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2022 год;</w:t>
      </w:r>
    </w:p>
    <w:p w14:paraId="CC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информация об итогах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за 2022 год с учетом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CD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 сводный годовой доклад о ходе реализации и об оценке эффективности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CE030000">
      <w:pPr>
        <w:ind w:firstLine="709" w:left="0"/>
        <w:jc w:val="both"/>
        <w:rPr>
          <w:sz w:val="28"/>
        </w:rPr>
      </w:pPr>
      <w:r>
        <w:rPr>
          <w:sz w:val="28"/>
        </w:rPr>
        <w:t>5) заключение Контрольно-счетной палаты Ростовской области по результатам внешней проверки</w:t>
      </w:r>
      <w:r>
        <w:rPr>
          <w:sz w:val="28"/>
        </w:rPr>
        <w:t>.</w:t>
      </w:r>
    </w:p>
    <w:p w14:paraId="CF030000">
      <w:pPr>
        <w:pStyle w:val="Style_8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решения  «Об утверждении отчета исполнения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 Куйбышевского района за 2022</w:t>
      </w:r>
      <w:r>
        <w:rPr>
          <w:rFonts w:ascii="Times New Roman" w:hAnsi="Times New Roman"/>
          <w:b w:val="0"/>
          <w:sz w:val="28"/>
        </w:rPr>
        <w:t xml:space="preserve"> год» составлен в соответствии с требованиями Бюджетного кодекса Российской Федерации и включает следующие данные:</w:t>
      </w:r>
    </w:p>
    <w:p w14:paraId="D003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- доходы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бюджета за 2022 год;</w:t>
      </w:r>
    </w:p>
    <w:p w14:paraId="D1030000">
      <w:pPr>
        <w:ind w:firstLine="709" w:left="0"/>
        <w:jc w:val="both"/>
        <w:rPr>
          <w:sz w:val="28"/>
        </w:rPr>
      </w:pPr>
      <w:r>
        <w:rPr>
          <w:sz w:val="28"/>
        </w:rPr>
        <w:t>- расходы бю</w:t>
      </w:r>
      <w:r>
        <w:rPr>
          <w:sz w:val="28"/>
        </w:rPr>
        <w:t xml:space="preserve">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по</w:t>
      </w:r>
      <w:r>
        <w:rPr>
          <w:sz w:val="28"/>
        </w:rPr>
        <w:t xml:space="preserve">  </w:t>
      </w:r>
      <w:r>
        <w:rPr>
          <w:sz w:val="28"/>
        </w:rPr>
        <w:t>ведомственной</w:t>
      </w:r>
      <w:r>
        <w:rPr>
          <w:sz w:val="28"/>
        </w:rPr>
        <w:t xml:space="preserve"> структурой расходов за 2022 год;</w:t>
      </w:r>
    </w:p>
    <w:p w14:paraId="D2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расходы 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разделам и подразделам классификации расходов бюджетов Российской Федерации за 2</w:t>
      </w:r>
      <w:r>
        <w:rPr>
          <w:sz w:val="28"/>
        </w:rPr>
        <w:t>022 год;</w:t>
      </w:r>
    </w:p>
    <w:p w14:paraId="D3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источники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 2022 год.</w:t>
      </w:r>
    </w:p>
    <w:p w14:paraId="D4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Годовой отчет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за 2022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2022 год.</w:t>
      </w:r>
      <w:r>
        <w:rPr>
          <w:i w:val="1"/>
          <w:sz w:val="28"/>
        </w:rPr>
        <w:t xml:space="preserve"> </w:t>
      </w:r>
      <w:r>
        <w:rPr>
          <w:sz w:val="28"/>
        </w:rPr>
        <w:t>Годовая бухгалтерская отчетность представлена в установленные срок</w:t>
      </w:r>
      <w:r>
        <w:rPr>
          <w:sz w:val="28"/>
        </w:rPr>
        <w:t xml:space="preserve">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>
        <w:rPr>
          <w:sz w:val="28"/>
        </w:rPr>
        <w:t>инструкции о порядке составления и представления годовой, квартальной и месячной отчетности об исполне</w:t>
      </w:r>
      <w:r>
        <w:rPr>
          <w:sz w:val="28"/>
        </w:rPr>
        <w:t>нии бюджетов бюджетной системы Российской Федерации».</w:t>
      </w:r>
    </w:p>
    <w:p w14:paraId="D503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исполнение бюджета Кринично-Лугского сельского поселения организовано с 2 главными распорядителями средств бюджета, 3 главными администраторами доходов бюджета.</w:t>
      </w:r>
    </w:p>
    <w:p w14:paraId="D603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обеспечено по предусмотренным Бюджетным кодексом Российской Федерации единым правилам организации бюджетного </w:t>
      </w:r>
      <w:r>
        <w:rPr>
          <w:sz w:val="28"/>
        </w:rPr>
        <w:t>процесса</w:t>
      </w:r>
      <w:r>
        <w:rPr>
          <w:sz w:val="28"/>
        </w:rPr>
        <w:t xml:space="preserve"> с соблюдением установленных</w:t>
      </w:r>
      <w:r>
        <w:rPr>
          <w:sz w:val="28"/>
        </w:rPr>
        <w:t xml:space="preserve"> им процедур и ограничений, в том числе по объему долга и дефицита бюджета.</w:t>
      </w:r>
    </w:p>
    <w:p w14:paraId="D703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осуществлялось в соответствии с 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27.12.2021 № 24 «О бю</w:t>
      </w:r>
      <w:r>
        <w:rPr>
          <w:sz w:val="28"/>
        </w:rPr>
        <w:t xml:space="preserve">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2022 год и плановый период 2023 и 2024 годов».</w:t>
      </w:r>
    </w:p>
    <w:p w14:paraId="D8030000">
      <w:pPr>
        <w:ind w:firstLine="709" w:left="0"/>
        <w:jc w:val="both"/>
        <w:rPr>
          <w:sz w:val="28"/>
        </w:rPr>
      </w:pPr>
      <w:r>
        <w:rPr>
          <w:sz w:val="28"/>
        </w:rPr>
        <w:t>За период 2022 года подготовлено 7 изменений в решение Собрания депут</w:t>
      </w:r>
      <w:r>
        <w:rPr>
          <w:sz w:val="28"/>
        </w:rPr>
        <w:t>а</w:t>
      </w:r>
      <w:r>
        <w:rPr>
          <w:sz w:val="28"/>
        </w:rPr>
        <w:t>тов Кринично-Лугского сельского поселения «О бюджете  Кринично-Лугского сельского поселения Куйбышевского района на 2022 год и плановый период 2023 и 2024 годов».</w:t>
      </w:r>
    </w:p>
    <w:p w14:paraId="D9030000">
      <w:pPr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оходы бюджета поселения в течение 2022 года в целом от первоначального бюджета увеличены на 770,5 тыс. рублей, в том числе с</w:t>
      </w:r>
      <w:r>
        <w:rPr>
          <w:sz w:val="28"/>
        </w:rPr>
        <w:t>обственные д</w:t>
      </w:r>
      <w:r>
        <w:rPr>
          <w:sz w:val="28"/>
        </w:rPr>
        <w:t xml:space="preserve">оходы на </w:t>
      </w:r>
      <w:r>
        <w:rPr>
          <w:sz w:val="28"/>
        </w:rPr>
        <w:t>63,0</w:t>
      </w:r>
      <w:r>
        <w:rPr>
          <w:sz w:val="28"/>
        </w:rPr>
        <w:t xml:space="preserve"> тыс. </w:t>
      </w:r>
      <w:r>
        <w:rPr>
          <w:sz w:val="28"/>
        </w:rPr>
        <w:t xml:space="preserve">рублей, </w:t>
      </w:r>
      <w:r>
        <w:rPr>
          <w:sz w:val="28"/>
        </w:rPr>
        <w:t>543,8 тыс. рублей дотации на сбалансированность бюджета, 13,7 тыс. рублей субвенции на осуществление первичного воинского учета</w:t>
      </w:r>
      <w:r>
        <w:rPr>
          <w:sz w:val="28"/>
        </w:rPr>
        <w:t>, 150,0 тыс</w:t>
      </w:r>
      <w:r>
        <w:rPr>
          <w:sz w:val="32"/>
        </w:rPr>
        <w:t xml:space="preserve">. рублей </w:t>
      </w:r>
      <w:r>
        <w:rPr>
          <w:sz w:val="28"/>
        </w:rPr>
        <w:t>средства резервного фонда Правительства Ростовской области</w:t>
      </w:r>
      <w:r>
        <w:rPr>
          <w:b w:val="1"/>
          <w:sz w:val="32"/>
        </w:rPr>
        <w:t xml:space="preserve"> </w:t>
      </w:r>
      <w:r>
        <w:rPr>
          <w:sz w:val="28"/>
        </w:rPr>
        <w:t>на </w:t>
      </w:r>
      <w:r>
        <w:rPr>
          <w:sz w:val="28"/>
        </w:rPr>
        <w:t>приобретение уличных светильников ЭРА с</w:t>
      </w:r>
      <w:r>
        <w:rPr>
          <w:sz w:val="28"/>
        </w:rPr>
        <w:t> </w:t>
      </w:r>
      <w:r>
        <w:rPr>
          <w:sz w:val="28"/>
        </w:rPr>
        <w:t>кронштейном (40 штук) для</w:t>
      </w:r>
      <w:r>
        <w:rPr>
          <w:sz w:val="28"/>
        </w:rPr>
        <w:t xml:space="preserve"> </w:t>
      </w:r>
      <w:r>
        <w:rPr>
          <w:sz w:val="28"/>
        </w:rPr>
        <w:t>последующей установки по адресу: Ростовская область, Куйбышевский район,</w:t>
      </w:r>
      <w:r>
        <w:rPr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> </w:t>
      </w:r>
      <w:r>
        <w:rPr>
          <w:sz w:val="28"/>
        </w:rPr>
        <w:t>Миллерово, ул.</w:t>
      </w:r>
      <w:r>
        <w:rPr>
          <w:sz w:val="28"/>
        </w:rPr>
        <w:t> </w:t>
      </w:r>
      <w:r>
        <w:rPr>
          <w:sz w:val="28"/>
        </w:rPr>
        <w:t>Ярового</w:t>
      </w:r>
      <w:r>
        <w:rPr>
          <w:sz w:val="28"/>
        </w:rPr>
        <w:t xml:space="preserve">, 30. </w:t>
      </w:r>
    </w:p>
    <w:p w14:paraId="DA03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асходы бюджета поселения увеличены </w:t>
      </w:r>
      <w:r>
        <w:rPr>
          <w:sz w:val="28"/>
        </w:rPr>
        <w:t xml:space="preserve">на </w:t>
      </w:r>
      <w:r>
        <w:rPr>
          <w:sz w:val="28"/>
        </w:rPr>
        <w:t>2 054,1</w:t>
      </w:r>
      <w:r>
        <w:rPr>
          <w:sz w:val="28"/>
        </w:rPr>
        <w:t xml:space="preserve"> тыс. </w:t>
      </w:r>
      <w:r>
        <w:rPr>
          <w:sz w:val="28"/>
        </w:rPr>
        <w:t xml:space="preserve">рублей, </w:t>
      </w:r>
      <w:r>
        <w:rPr>
          <w:sz w:val="28"/>
        </w:rPr>
        <w:t>в том числе</w:t>
      </w:r>
      <w:r>
        <w:rPr>
          <w:sz w:val="28"/>
        </w:rPr>
        <w:t xml:space="preserve"> за счет вовлечения остатков прошлых лет 1 283,6 тыс. рублей</w:t>
      </w:r>
      <w:r>
        <w:rPr>
          <w:sz w:val="28"/>
        </w:rPr>
        <w:t>.</w:t>
      </w:r>
    </w:p>
    <w:p w14:paraId="DB030000">
      <w:pPr>
        <w:pStyle w:val="Style_9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2022 году продолжена реализация Плана мероприятий по росту доходного потенциала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поселения, оптимизации расходо</w:t>
      </w:r>
      <w:r>
        <w:rPr>
          <w:b w:val="0"/>
          <w:sz w:val="28"/>
        </w:rPr>
        <w:t xml:space="preserve">в бюджета поселения и сокращению муниципального долга 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 до 2024 года, утвержденного распоряжением Администрации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 от 26.09.2018 № 177.  Обеспечено выполнение первоочередных мероприяти</w:t>
      </w:r>
      <w:r>
        <w:rPr>
          <w:b w:val="0"/>
          <w:sz w:val="28"/>
        </w:rPr>
        <w:t xml:space="preserve">й по обеспечению устойчивого развития экономики и социальной стабильности в </w:t>
      </w:r>
      <w:r>
        <w:rPr>
          <w:b w:val="0"/>
          <w:sz w:val="28"/>
        </w:rPr>
        <w:t>Кринично-Лугском</w:t>
      </w:r>
      <w:r>
        <w:rPr>
          <w:b w:val="0"/>
          <w:sz w:val="28"/>
        </w:rPr>
        <w:t xml:space="preserve"> сельском поселении в 2022-2024 годах.</w:t>
      </w:r>
    </w:p>
    <w:p w14:paraId="DC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Продолжена реализация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2017-2028 годов </w:t>
      </w:r>
      <w:r>
        <w:rPr>
          <w:sz w:val="28"/>
        </w:rPr>
        <w:t>согласно постановле</w:t>
      </w:r>
      <w:r>
        <w:rPr>
          <w:sz w:val="28"/>
        </w:rPr>
        <w:t>ния</w:t>
      </w:r>
      <w:r>
        <w:rPr>
          <w:sz w:val="28"/>
        </w:rPr>
        <w:t xml:space="preserve">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17.02.2017 № 33. В сентябре 2022 года продолжит реализацию </w:t>
      </w: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годов.</w:t>
      </w:r>
    </w:p>
    <w:p w14:paraId="DD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</w:t>
      </w:r>
      <w:r>
        <w:rPr>
          <w:sz w:val="28"/>
        </w:rPr>
        <w:t>ами которой являются все без исключения главные распорядители бюджетных средств.</w:t>
      </w:r>
    </w:p>
    <w:p w14:paraId="DE030000">
      <w:pPr>
        <w:ind w:firstLine="900" w:left="0"/>
        <w:jc w:val="center"/>
        <w:rPr>
          <w:sz w:val="28"/>
        </w:rPr>
      </w:pPr>
    </w:p>
    <w:p w14:paraId="DF030000">
      <w:pPr>
        <w:ind w:firstLine="900" w:left="0"/>
        <w:jc w:val="center"/>
        <w:rPr>
          <w:sz w:val="28"/>
        </w:rPr>
      </w:pPr>
      <w:r>
        <w:rPr>
          <w:sz w:val="28"/>
        </w:rPr>
        <w:t>Доходная часть бюджета</w:t>
      </w:r>
    </w:p>
    <w:p w14:paraId="E0030000">
      <w:pPr>
        <w:ind w:firstLine="900" w:left="0"/>
        <w:jc w:val="center"/>
        <w:rPr>
          <w:sz w:val="28"/>
        </w:rPr>
      </w:pPr>
    </w:p>
    <w:p w14:paraId="E1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По состоянию на 01.01.2023 года  доходы 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(далее поселения) - всего поступили в сумме 23 689,3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тыс. рублей, план года исполнен 100,3 %, в сравнении с фактом поступления 2021 года меньше на 25,6 %. </w:t>
      </w:r>
    </w:p>
    <w:p w14:paraId="E2030000">
      <w:pPr>
        <w:ind w:firstLine="900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поступили в сумме 14 772,1 тыс. рублей, план года исполнен на 100,5 %. В сравнении с фактом 2021 года</w:t>
      </w:r>
      <w:r>
        <w:rPr>
          <w:sz w:val="28"/>
        </w:rPr>
        <w:t xml:space="preserve"> поступления 2022 года меньше на 11,8 %.</w:t>
      </w:r>
    </w:p>
    <w:p w14:paraId="E3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E4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1. Проведено 5</w:t>
      </w:r>
      <w:r>
        <w:rPr>
          <w:sz w:val="28"/>
        </w:rPr>
        <w:t xml:space="preserve"> заседания Координационного совета по сбору налогов, на которые было приглашено </w:t>
      </w:r>
      <w:r>
        <w:rPr>
          <w:sz w:val="28"/>
        </w:rPr>
        <w:t>84</w:t>
      </w:r>
      <w:r>
        <w:rPr>
          <w:sz w:val="28"/>
        </w:rPr>
        <w:t xml:space="preserve"> физическое лицо, присутствовало </w:t>
      </w:r>
      <w:r>
        <w:rPr>
          <w:sz w:val="28"/>
        </w:rPr>
        <w:t>84</w:t>
      </w:r>
      <w:r>
        <w:rPr>
          <w:sz w:val="28"/>
        </w:rPr>
        <w:t xml:space="preserve"> человека,    погашена недоимка в сумме </w:t>
      </w:r>
      <w:r>
        <w:rPr>
          <w:sz w:val="28"/>
        </w:rPr>
        <w:t>53,5</w:t>
      </w:r>
      <w:r>
        <w:rPr>
          <w:sz w:val="28"/>
        </w:rPr>
        <w:t xml:space="preserve">  тыс. рублей. </w:t>
      </w:r>
    </w:p>
    <w:p w14:paraId="E5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2.   Вручено 824</w:t>
      </w:r>
      <w:r>
        <w:rPr>
          <w:sz w:val="28"/>
        </w:rPr>
        <w:t xml:space="preserve"> извещение об уплате налога; </w:t>
      </w:r>
    </w:p>
    <w:p w14:paraId="E6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3. Информирование налогоплательщиков о действии сайта УФНС по РО </w:t>
      </w:r>
      <w:r>
        <w:rPr>
          <w:rStyle w:val="Style_10_ch"/>
          <w:sz w:val="28"/>
        </w:rPr>
        <w:fldChar w:fldCharType="begin"/>
      </w:r>
      <w:r>
        <w:rPr>
          <w:rStyle w:val="Style_10_ch"/>
          <w:sz w:val="28"/>
        </w:rPr>
        <w:instrText>HYPERLINK "http://www.r61.nalog.ru/"</w:instrText>
      </w:r>
      <w:r>
        <w:rPr>
          <w:rStyle w:val="Style_10_ch"/>
          <w:sz w:val="28"/>
        </w:rPr>
        <w:fldChar w:fldCharType="separate"/>
      </w:r>
      <w:r>
        <w:rPr>
          <w:rStyle w:val="Style_10_ch"/>
          <w:sz w:val="28"/>
        </w:rPr>
        <w:t>www</w:t>
      </w:r>
      <w:r>
        <w:rPr>
          <w:rStyle w:val="Style_10_ch"/>
          <w:sz w:val="28"/>
        </w:rPr>
        <w:t>.</w:t>
      </w:r>
      <w:r>
        <w:rPr>
          <w:rStyle w:val="Style_10_ch"/>
          <w:sz w:val="28"/>
        </w:rPr>
        <w:t>r</w:t>
      </w:r>
      <w:r>
        <w:rPr>
          <w:rStyle w:val="Style_10_ch"/>
          <w:sz w:val="28"/>
        </w:rPr>
        <w:t>61.</w:t>
      </w:r>
      <w:r>
        <w:rPr>
          <w:rStyle w:val="Style_10_ch"/>
          <w:sz w:val="28"/>
        </w:rPr>
        <w:t>nalog</w:t>
      </w:r>
      <w:r>
        <w:rPr>
          <w:rStyle w:val="Style_10_ch"/>
          <w:sz w:val="28"/>
        </w:rPr>
        <w:t>.</w:t>
      </w:r>
      <w:r>
        <w:rPr>
          <w:rStyle w:val="Style_10_ch"/>
          <w:sz w:val="28"/>
        </w:rPr>
        <w:t>ru</w:t>
      </w:r>
      <w:r>
        <w:rPr>
          <w:rStyle w:val="Style_10_ch"/>
          <w:sz w:val="28"/>
        </w:rPr>
        <w:fldChar w:fldCharType="end"/>
      </w:r>
      <w:r>
        <w:rPr>
          <w:sz w:val="28"/>
        </w:rPr>
        <w:t xml:space="preserve"> «личный кабинет»;</w:t>
      </w:r>
    </w:p>
    <w:p w14:paraId="E7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14:paraId="E8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Произведен подворный обход 824</w:t>
      </w:r>
      <w:r>
        <w:rPr>
          <w:sz w:val="28"/>
        </w:rPr>
        <w:t xml:space="preserve"> жителей поселения с целью информирования о наличии у них недоимки;</w:t>
      </w:r>
    </w:p>
    <w:p w14:paraId="E9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6. Проведена работа с главным специалистом по имущественным и земельным отношениям, по выявлению земельных участков проданных или переданных собственникам в аренду ИП, физических </w:t>
      </w:r>
      <w:r>
        <w:rPr>
          <w:sz w:val="28"/>
        </w:rPr>
        <w:t>лиц</w:t>
      </w:r>
      <w:r>
        <w:rPr>
          <w:sz w:val="28"/>
        </w:rPr>
        <w:t xml:space="preserve"> не проживающих на территории поселения.</w:t>
      </w:r>
    </w:p>
    <w:p w14:paraId="EA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7. Представлены сведения по недоимке в МИ ФНС невозможные </w:t>
      </w:r>
      <w:r>
        <w:rPr>
          <w:sz w:val="28"/>
        </w:rPr>
        <w:t>ко</w:t>
      </w:r>
      <w:r>
        <w:rPr>
          <w:sz w:val="28"/>
        </w:rPr>
        <w:t xml:space="preserve"> взысканию. </w:t>
      </w:r>
    </w:p>
    <w:p w14:paraId="EB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8. Администрацией производится размещение информационных листовок на стендах, с указанием сроков уплаты имущественных налогов.</w:t>
      </w:r>
    </w:p>
    <w:p w14:paraId="EC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</w:t>
      </w:r>
      <w:r>
        <w:rPr>
          <w:sz w:val="28"/>
        </w:rPr>
        <w:t xml:space="preserve"> </w:t>
      </w:r>
    </w:p>
    <w:p w14:paraId="ED030000">
      <w:pPr>
        <w:ind w:firstLine="900" w:left="0"/>
        <w:jc w:val="both"/>
        <w:rPr>
          <w:sz w:val="28"/>
        </w:rPr>
      </w:pPr>
    </w:p>
    <w:p w14:paraId="EE030000">
      <w:pPr>
        <w:ind w:firstLine="900" w:left="0"/>
        <w:jc w:val="both"/>
        <w:rPr>
          <w:sz w:val="28"/>
        </w:rPr>
      </w:pPr>
    </w:p>
    <w:p w14:paraId="EF030000">
      <w:pPr>
        <w:ind w:firstLine="900" w:left="0"/>
        <w:jc w:val="both"/>
        <w:rPr>
          <w:sz w:val="28"/>
        </w:rPr>
      </w:pPr>
    </w:p>
    <w:p w14:paraId="F0030000">
      <w:pPr>
        <w:ind w:firstLine="900" w:left="0"/>
        <w:jc w:val="both"/>
        <w:rPr>
          <w:sz w:val="28"/>
        </w:rPr>
      </w:pPr>
    </w:p>
    <w:p w14:paraId="F1030000">
      <w:pPr>
        <w:ind w:firstLine="900" w:left="0"/>
        <w:jc w:val="both"/>
        <w:rPr>
          <w:sz w:val="28"/>
        </w:rPr>
      </w:pPr>
    </w:p>
    <w:p w14:paraId="F2030000">
      <w:pPr>
        <w:ind w:firstLine="900" w:left="0"/>
        <w:jc w:val="both"/>
        <w:rPr>
          <w:sz w:val="28"/>
        </w:rPr>
      </w:pPr>
    </w:p>
    <w:p w14:paraId="F3030000">
      <w:pPr>
        <w:spacing w:line="240" w:lineRule="auto"/>
        <w:ind w:firstLine="709" w:left="0"/>
        <w:jc w:val="both"/>
        <w:rPr>
          <w:sz w:val="28"/>
        </w:rPr>
      </w:pPr>
      <w:r>
        <w:rPr>
          <w:b w:val="0"/>
          <w:sz w:val="28"/>
          <w:u w:val="single"/>
        </w:rPr>
        <w:t>Основные показатели бюджета поселения за 20</w:t>
      </w:r>
      <w:r>
        <w:rPr>
          <w:b w:val="0"/>
          <w:sz w:val="28"/>
          <w:u w:val="single"/>
        </w:rPr>
        <w:t>22</w:t>
      </w:r>
      <w:r>
        <w:rPr>
          <w:b w:val="0"/>
          <w:sz w:val="28"/>
          <w:u w:val="single"/>
        </w:rPr>
        <w:t xml:space="preserve"> год</w:t>
      </w:r>
      <w:r>
        <w:rPr>
          <w:sz w:val="28"/>
        </w:rPr>
        <w:t xml:space="preserve"> характеризуются следующими данными:</w:t>
      </w:r>
    </w:p>
    <w:p w14:paraId="F4030000">
      <w:pPr>
        <w:spacing w:line="240" w:lineRule="auto"/>
        <w:ind w:firstLine="700" w:left="0"/>
        <w:jc w:val="right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</w:t>
      </w:r>
      <w:r>
        <w:rPr>
          <w:sz w:val="28"/>
        </w:rPr>
        <w:t>. рублей)</w:t>
      </w:r>
    </w:p>
    <w:p w14:paraId="F5030000">
      <w:pPr>
        <w:spacing w:line="240" w:lineRule="auto"/>
        <w:ind w:firstLine="700" w:left="0"/>
        <w:jc w:val="right"/>
        <w:rPr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9"/>
        <w:gridCol w:w="1968"/>
        <w:gridCol w:w="1968"/>
        <w:gridCol w:w="1111"/>
        <w:gridCol w:w="1531"/>
      </w:tblGrid>
      <w:tr>
        <w:tc>
          <w:tcPr>
            <w:tcW w:type="dxa" w:w="3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Наименование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Исполнение за 20</w:t>
            </w:r>
            <w:r>
              <w:rPr>
                <w:b w:val="0"/>
                <w:color w:val="000000"/>
                <w:sz w:val="28"/>
              </w:rPr>
              <w:t>21</w:t>
            </w:r>
            <w:r>
              <w:rPr>
                <w:b w:val="0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Исполнение за 2022</w:t>
            </w:r>
            <w:r>
              <w:rPr>
                <w:b w:val="0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1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Темп роста</w:t>
            </w:r>
          </w:p>
        </w:tc>
        <w:tc>
          <w:tcPr>
            <w:tcW w:type="dxa" w:w="15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Изменение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Доходы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31 753,9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23 689,3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74,6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-8 064,6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16 750,2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14 772,1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88,2%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-1 978,1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15 003,7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8 917,2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59,4%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-6 086,5</w:t>
            </w:r>
          </w:p>
        </w:tc>
      </w:tr>
      <w:tr>
        <w:trPr>
          <w:trHeight w:hRule="atLeast" w:val="316"/>
        </w:trP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9 716,3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8 511,6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87,6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-1 204,7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9 716,3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7 967,8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82,0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-1 748,5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543,8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Субвенции,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240,4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06,3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целевые межбюджетные трансферты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5 047,0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150,0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-4 897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Расходы,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28 781,3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24 074,1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96,7</w:t>
            </w:r>
            <w:r>
              <w:rPr>
                <w:b w:val="0"/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-4 707,2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Дефицит, профицит (-,+)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2 972,6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-384,8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83,2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822,6</w:t>
            </w:r>
          </w:p>
        </w:tc>
      </w:tr>
    </w:tbl>
    <w:p w14:paraId="2F040000">
      <w:pPr>
        <w:ind w:firstLine="900" w:left="0"/>
        <w:jc w:val="both"/>
        <w:rPr>
          <w:sz w:val="28"/>
        </w:rPr>
      </w:pPr>
    </w:p>
    <w:p w14:paraId="30040000">
      <w:pPr>
        <w:ind w:firstLine="900" w:left="0"/>
        <w:jc w:val="center"/>
        <w:rPr>
          <w:sz w:val="28"/>
        </w:rPr>
      </w:pPr>
      <w:r>
        <w:rPr>
          <w:sz w:val="28"/>
        </w:rPr>
        <w:t>Анализ поступ</w:t>
      </w:r>
      <w:r>
        <w:rPr>
          <w:sz w:val="28"/>
        </w:rPr>
        <w:t>лений в бюджет поселения в разрезе отдельных источников доходов представлен следующим образом:</w:t>
      </w:r>
    </w:p>
    <w:p w14:paraId="31040000">
      <w:pPr>
        <w:ind w:firstLine="900" w:left="0"/>
        <w:jc w:val="center"/>
        <w:rPr>
          <w:sz w:val="28"/>
        </w:rPr>
      </w:pPr>
    </w:p>
    <w:p w14:paraId="32040000">
      <w:pPr>
        <w:ind w:firstLine="900" w:left="0"/>
        <w:jc w:val="center"/>
        <w:rPr>
          <w:sz w:val="28"/>
        </w:rPr>
      </w:pPr>
      <w:r>
        <w:rPr>
          <w:sz w:val="28"/>
        </w:rPr>
        <w:t>Налоговые доходы:</w:t>
      </w:r>
    </w:p>
    <w:p w14:paraId="33040000">
      <w:pPr>
        <w:ind w:firstLine="900" w:left="0"/>
        <w:jc w:val="center"/>
        <w:rPr>
          <w:sz w:val="28"/>
        </w:rPr>
      </w:pPr>
    </w:p>
    <w:p w14:paraId="34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фактическое поступление налоговых доходов составило 14 261,</w:t>
      </w:r>
      <w:r>
        <w:rPr>
          <w:rFonts w:ascii="Times New Roman" w:hAnsi="Times New Roman"/>
          <w:sz w:val="28"/>
        </w:rPr>
        <w:t>7 тыс. рублей, годовой план исполнен на 100,5 % или больше на 65,9 тыс. рублей. Это связано с фактическим поступлением налога на доходы физических лиц. В структуре доходов поселения на долю налоговых доходов приходится 60,2 %, в структуре собственных доход</w:t>
      </w:r>
      <w:r>
        <w:rPr>
          <w:rFonts w:ascii="Times New Roman" w:hAnsi="Times New Roman"/>
          <w:sz w:val="28"/>
        </w:rPr>
        <w:t>ов на долю налоговых доходов приходится 96,5 %.</w:t>
      </w:r>
    </w:p>
    <w:p w14:paraId="35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6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источником налоговых доходов является </w:t>
      </w:r>
      <w:r>
        <w:rPr>
          <w:rFonts w:ascii="Times New Roman" w:hAnsi="Times New Roman"/>
          <w:sz w:val="28"/>
          <w:u w:color="000000" w:val="single"/>
        </w:rPr>
        <w:t>земельный налог,</w:t>
      </w:r>
      <w:r>
        <w:rPr>
          <w:rFonts w:ascii="Times New Roman" w:hAnsi="Times New Roman"/>
          <w:sz w:val="28"/>
        </w:rPr>
        <w:t xml:space="preserve"> на его долю приходится 41,6 процентов. Фактическое поступление земельного налога составило 5 926,2 тыс. рублей план года исполнен на 103,4 %, </w:t>
      </w:r>
      <w:r>
        <w:rPr>
          <w:rFonts w:ascii="Times New Roman" w:hAnsi="Times New Roman"/>
          <w:sz w:val="28"/>
        </w:rPr>
        <w:t>в сравнении с 2021 годом налог поступил больше на 5,4 % или на 304,5 тыс. рублей.</w:t>
      </w:r>
    </w:p>
    <w:p w14:paraId="37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color="000000" w:val="single"/>
        </w:rPr>
        <w:t>Земельный налог физических лиц</w:t>
      </w:r>
      <w:r>
        <w:rPr>
          <w:rFonts w:ascii="Times New Roman" w:hAnsi="Times New Roman"/>
          <w:sz w:val="28"/>
        </w:rPr>
        <w:t xml:space="preserve"> поступил в сумме 5 393,2 тыс. рублей, план года исполнен на 103,2 %. В сравнении с прошлым годом налог поступил больше на 6,4 % или на</w:t>
      </w:r>
      <w:r>
        <w:rPr>
          <w:rFonts w:ascii="Times New Roman" w:hAnsi="Times New Roman"/>
          <w:sz w:val="28"/>
        </w:rPr>
        <w:t xml:space="preserve"> 323,3 тыс. рублей. Основная причина исполнения плана погашение недоимки прошлых лет.</w:t>
      </w:r>
    </w:p>
    <w:p w14:paraId="38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- Земельный налог с организаций</w:t>
      </w:r>
      <w:r>
        <w:rPr>
          <w:rFonts w:ascii="Times New Roman" w:hAnsi="Times New Roman"/>
          <w:sz w:val="28"/>
        </w:rPr>
        <w:t xml:space="preserve"> поступил в сумме 533,0 тыс. рублей, план года  исполнен на 105,8 %. В сравнении с прошлым годом налог поступил меньше на 18,8 тыс. рублей.</w:t>
      </w:r>
    </w:p>
    <w:p w14:paraId="39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Недоимка по земельному налогу составляет в сумме </w:t>
      </w:r>
      <w:r>
        <w:rPr>
          <w:sz w:val="28"/>
        </w:rPr>
        <w:t>636,1</w:t>
      </w:r>
      <w:r>
        <w:rPr>
          <w:sz w:val="28"/>
        </w:rPr>
        <w:t xml:space="preserve"> тыс. рублей. Из них н</w:t>
      </w:r>
      <w:r>
        <w:rPr>
          <w:sz w:val="28"/>
        </w:rPr>
        <w:t xml:space="preserve">евозможно </w:t>
      </w:r>
      <w:r>
        <w:rPr>
          <w:sz w:val="28"/>
        </w:rPr>
        <w:t>ко</w:t>
      </w:r>
      <w:r>
        <w:rPr>
          <w:sz w:val="28"/>
        </w:rPr>
        <w:t xml:space="preserve"> взысканию в сумме 175,2</w:t>
      </w:r>
      <w:r>
        <w:rPr>
          <w:sz w:val="28"/>
        </w:rPr>
        <w:t xml:space="preserve"> тыс. рублей по причине: не пр</w:t>
      </w:r>
      <w:r>
        <w:rPr>
          <w:sz w:val="28"/>
        </w:rPr>
        <w:t>оживает и не зарегистрировано 82</w:t>
      </w:r>
      <w:r>
        <w:rPr>
          <w:sz w:val="28"/>
        </w:rPr>
        <w:t xml:space="preserve"> человек</w:t>
      </w:r>
      <w:r>
        <w:rPr>
          <w:sz w:val="28"/>
        </w:rPr>
        <w:t>а</w:t>
      </w:r>
      <w:r>
        <w:rPr>
          <w:sz w:val="28"/>
        </w:rPr>
        <w:t xml:space="preserve"> –</w:t>
      </w:r>
      <w:r>
        <w:rPr>
          <w:sz w:val="28"/>
        </w:rPr>
        <w:t xml:space="preserve"> 88,3</w:t>
      </w:r>
      <w:r>
        <w:rPr>
          <w:sz w:val="28"/>
        </w:rPr>
        <w:t xml:space="preserve"> тыс. рублей, зарегистрировано, но не проживает </w:t>
      </w:r>
      <w:r>
        <w:rPr>
          <w:sz w:val="28"/>
        </w:rPr>
        <w:t>61</w:t>
      </w:r>
      <w:r>
        <w:rPr>
          <w:sz w:val="28"/>
        </w:rPr>
        <w:t xml:space="preserve"> человек – </w:t>
      </w:r>
      <w:r>
        <w:rPr>
          <w:sz w:val="28"/>
        </w:rPr>
        <w:t>82,2</w:t>
      </w:r>
      <w:r>
        <w:rPr>
          <w:sz w:val="28"/>
        </w:rPr>
        <w:t xml:space="preserve"> тыс. рублей, умершие </w:t>
      </w:r>
      <w:r>
        <w:rPr>
          <w:sz w:val="28"/>
        </w:rPr>
        <w:t>5</w:t>
      </w:r>
      <w:r>
        <w:rPr>
          <w:sz w:val="28"/>
        </w:rPr>
        <w:t xml:space="preserve"> человек- </w:t>
      </w:r>
      <w:r>
        <w:rPr>
          <w:sz w:val="28"/>
        </w:rPr>
        <w:t>4,7</w:t>
      </w:r>
      <w:r>
        <w:rPr>
          <w:sz w:val="28"/>
        </w:rPr>
        <w:t xml:space="preserve"> тыс. рублей.</w:t>
      </w:r>
    </w:p>
    <w:p w14:paraId="3A040000">
      <w:pPr>
        <w:ind w:firstLine="851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На втором месте в структуре доходов </w:t>
      </w:r>
      <w:r>
        <w:rPr>
          <w:rFonts w:ascii="Times New Roman" w:hAnsi="Times New Roman"/>
          <w:sz w:val="28"/>
        </w:rPr>
        <w:t>находится е</w:t>
      </w:r>
      <w:r>
        <w:rPr>
          <w:rFonts w:ascii="Times New Roman" w:hAnsi="Times New Roman"/>
          <w:sz w:val="28"/>
          <w:u w:color="000000" w:val="single"/>
        </w:rPr>
        <w:t>диный сельскохозяйственный налог</w:t>
      </w:r>
      <w:r>
        <w:rPr>
          <w:rFonts w:ascii="Times New Roman" w:hAnsi="Times New Roman"/>
          <w:sz w:val="28"/>
        </w:rPr>
        <w:t xml:space="preserve"> на его долю приходится</w:t>
      </w:r>
      <w:r>
        <w:rPr>
          <w:rFonts w:ascii="Times New Roman" w:hAnsi="Times New Roman"/>
          <w:sz w:val="28"/>
        </w:rPr>
        <w:t xml:space="preserve"> 32,7 процентов, </w:t>
      </w:r>
      <w:r>
        <w:rPr>
          <w:rFonts w:ascii="Times New Roman" w:hAnsi="Times New Roman"/>
          <w:sz w:val="28"/>
        </w:rPr>
        <w:t xml:space="preserve"> налог поступил в сумме 4 827,0 тыс. рублей. План исполнен на 93,8 %, в сравнении с 2021 годом исполнение меньше на 20,7 % или 1 261,7 тыс. рублей, </w:t>
      </w:r>
      <w:r>
        <w:rPr>
          <w:rFonts w:ascii="Times New Roman" w:hAnsi="Times New Roman"/>
          <w:sz w:val="28"/>
        </w:rPr>
        <w:t>Не достижение необходимого роста по единому сельскохозяйственному налогу - внесения авансовых платежей больше чем сложился налог за 2021 год, приобретения основных средств(сельскохозяйственной техники, земельных участков, уменьшение прибыли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итогам 2021 года. Уменьшение уплаты налога за 2022 год к аналогичному периоду прошлого года по наиболее крупным налогоплательщикам: ИП Глава К(Ф)Х Шленчак А.А., ИП Глава К(Ф)Х «Буханцев А.В.», ООО «Агровектор», ИП Бабкина А.П.</w:t>
      </w:r>
    </w:p>
    <w:p w14:paraId="3B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третьем месте в структуре налоговых 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находится н</w:t>
      </w:r>
      <w:r>
        <w:rPr>
          <w:rFonts w:ascii="Times New Roman" w:hAnsi="Times New Roman"/>
          <w:sz w:val="28"/>
          <w:u w:color="000000" w:val="single"/>
        </w:rPr>
        <w:t>алог на доходы физических лиц</w:t>
      </w:r>
      <w:r>
        <w:rPr>
          <w:rFonts w:ascii="Times New Roman" w:hAnsi="Times New Roman"/>
          <w:sz w:val="28"/>
        </w:rPr>
        <w:t xml:space="preserve"> на его долю приходится</w:t>
      </w:r>
      <w:r>
        <w:rPr>
          <w:rFonts w:ascii="Times New Roman" w:hAnsi="Times New Roman"/>
          <w:sz w:val="28"/>
        </w:rPr>
        <w:t xml:space="preserve"> 24,7 процентов. Налог поступил в сумме 3 177,6 тыс. рублей, годовой план исполнен 107,7 %. В сравнении  с прошлым годом налог поступил меньше на 283,6 тыс. рублей, </w:t>
      </w:r>
      <w:r>
        <w:rPr>
          <w:rFonts w:ascii="Times New Roman" w:hAnsi="Times New Roman"/>
          <w:sz w:val="28"/>
        </w:rPr>
        <w:t>по причине снижения цены на</w:t>
      </w:r>
      <w:r>
        <w:rPr>
          <w:rFonts w:ascii="Times New Roman" w:hAnsi="Times New Roman"/>
          <w:sz w:val="28"/>
        </w:rPr>
        <w:t xml:space="preserve"> сельскохозяйственную продукцию и образованием недоимки у </w:t>
      </w:r>
      <w:r>
        <w:rPr>
          <w:rFonts w:ascii="Times New Roman" w:hAnsi="Times New Roman"/>
          <w:sz w:val="28"/>
        </w:rPr>
        <w:t>налогоплательщиков</w:t>
      </w:r>
      <w:r>
        <w:rPr>
          <w:rFonts w:ascii="Times New Roman" w:hAnsi="Times New Roman"/>
          <w:sz w:val="28"/>
        </w:rPr>
        <w:t xml:space="preserve"> зарегистрированных на территории поселения, но не проживающих в количестве 25 человек - 541,9 тыс. рублей.</w:t>
      </w:r>
      <w:r>
        <w:rPr>
          <w:rFonts w:ascii="Times New Roman" w:hAnsi="Times New Roman"/>
          <w:sz w:val="28"/>
        </w:rPr>
        <w:t> </w:t>
      </w:r>
    </w:p>
    <w:p w14:paraId="3C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 четвертом месте в структуре налоговых доходов находится </w:t>
      </w:r>
      <w:r>
        <w:rPr>
          <w:rFonts w:ascii="Times New Roman" w:hAnsi="Times New Roman"/>
          <w:sz w:val="28"/>
          <w:u w:color="000000" w:val="single"/>
        </w:rPr>
        <w:t xml:space="preserve">налог на </w:t>
      </w:r>
      <w:r>
        <w:rPr>
          <w:rFonts w:ascii="Times New Roman" w:hAnsi="Times New Roman"/>
          <w:sz w:val="28"/>
          <w:u w:color="000000" w:val="single"/>
        </w:rPr>
        <w:t>имущество физических лиц,</w:t>
      </w:r>
      <w:r>
        <w:rPr>
          <w:rFonts w:ascii="Times New Roman" w:hAnsi="Times New Roman"/>
          <w:sz w:val="28"/>
        </w:rPr>
        <w:t xml:space="preserve"> на его долю приходится 0,9 процентов. Налог поступил в сумме 321,5 тыс. рублей, план года исполнен на 89,3 %, в сравнении с 2021 годом налог поступил меньше на 4,3 тыс. рублей.</w:t>
      </w:r>
    </w:p>
    <w:p w14:paraId="3D04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sz w:val="28"/>
        </w:rPr>
        <w:t xml:space="preserve">Недоимка по налогу на имущество физических лиц составляет в сумме </w:t>
      </w:r>
      <w:r>
        <w:rPr>
          <w:sz w:val="28"/>
        </w:rPr>
        <w:t>178,2</w:t>
      </w:r>
      <w:r>
        <w:rPr>
          <w:sz w:val="28"/>
        </w:rPr>
        <w:t xml:space="preserve"> тыс. рублей. </w:t>
      </w:r>
      <w:r>
        <w:rPr>
          <w:sz w:val="28"/>
        </w:rPr>
        <w:t xml:space="preserve">Из них невозможна </w:t>
      </w:r>
      <w:r>
        <w:rPr>
          <w:sz w:val="28"/>
        </w:rPr>
        <w:t>ко</w:t>
      </w:r>
      <w:r>
        <w:rPr>
          <w:sz w:val="28"/>
        </w:rPr>
        <w:t xml:space="preserve"> взысканию в сумме </w:t>
      </w:r>
      <w:r>
        <w:rPr>
          <w:sz w:val="28"/>
        </w:rPr>
        <w:t>61,5</w:t>
      </w:r>
      <w:r>
        <w:rPr>
          <w:sz w:val="28"/>
        </w:rPr>
        <w:t xml:space="preserve"> тыс. рублей: не проживает и не зарегистрировано </w:t>
      </w:r>
      <w:r>
        <w:rPr>
          <w:sz w:val="28"/>
        </w:rPr>
        <w:t>47</w:t>
      </w:r>
      <w:r>
        <w:rPr>
          <w:sz w:val="28"/>
        </w:rPr>
        <w:t xml:space="preserve"> человек –</w:t>
      </w:r>
      <w:r>
        <w:rPr>
          <w:sz w:val="28"/>
        </w:rPr>
        <w:t xml:space="preserve"> 49,7</w:t>
      </w:r>
      <w:r>
        <w:rPr>
          <w:sz w:val="28"/>
        </w:rPr>
        <w:t xml:space="preserve"> тыс. рублей, зарегистрированы, но не проживает 5</w:t>
      </w:r>
      <w:r>
        <w:rPr>
          <w:sz w:val="28"/>
        </w:rPr>
        <w:t>2</w:t>
      </w:r>
      <w:r>
        <w:rPr>
          <w:sz w:val="28"/>
        </w:rPr>
        <w:t xml:space="preserve"> человека – </w:t>
      </w:r>
      <w:r>
        <w:rPr>
          <w:sz w:val="28"/>
        </w:rPr>
        <w:t>10,8</w:t>
      </w:r>
      <w:r>
        <w:rPr>
          <w:sz w:val="28"/>
        </w:rPr>
        <w:t xml:space="preserve"> тыс. рублей, умершие 4 человека- 1,0 тыс. рублей.</w:t>
      </w:r>
    </w:p>
    <w:p w14:paraId="3E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пятом месте в структуре налоговых доходов находится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  <w:u w:color="000000" w:val="single"/>
        </w:rPr>
        <w:t>осударственная</w:t>
      </w:r>
      <w:r>
        <w:rPr>
          <w:rFonts w:ascii="Times New Roman" w:hAnsi="Times New Roman"/>
          <w:sz w:val="28"/>
          <w:u w:color="000000" w:val="single"/>
        </w:rPr>
        <w:t xml:space="preserve"> пошлины за совершение нотариальных действий</w:t>
      </w:r>
      <w:r>
        <w:rPr>
          <w:rFonts w:ascii="Times New Roman" w:hAnsi="Times New Roman"/>
          <w:sz w:val="28"/>
        </w:rPr>
        <w:t>, на его долю приходится 0,1 процент.  Доход поступил в сумме 9,4 тыс. рублей, план года исполнен на 103,3 процента. В сравнении с прошл</w:t>
      </w:r>
      <w:r>
        <w:rPr>
          <w:rFonts w:ascii="Times New Roman" w:hAnsi="Times New Roman"/>
          <w:sz w:val="28"/>
        </w:rPr>
        <w:t>ым годом доходы поступили больше на 2,3 тыс. рублей.</w:t>
      </w:r>
    </w:p>
    <w:p w14:paraId="3F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40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Неналоговые доходы</w:t>
      </w:r>
    </w:p>
    <w:p w14:paraId="41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42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доходов на долю неналоговых доходов приходится 2,2 %, а в структуре собственных доходов на их долю приходится 3,5 %.  Доходы поступили в сумме 510,4 тыс. руб.</w:t>
      </w:r>
    </w:p>
    <w:p w14:paraId="43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</w:t>
      </w:r>
      <w:r>
        <w:rPr>
          <w:rFonts w:ascii="Times New Roman" w:hAnsi="Times New Roman"/>
          <w:sz w:val="28"/>
        </w:rPr>
        <w:t>от использования имущества, находящегося в государственной и муниципальной собственности поступили в сумме 406,5 тыс. рублей:</w:t>
      </w:r>
    </w:p>
    <w:p w14:paraId="44040000">
      <w:pPr>
        <w:ind w:firstLine="851" w:left="0"/>
        <w:jc w:val="both"/>
        <w:rPr>
          <w:rFonts w:ascii="Times New Roman" w:hAnsi="Times New Roman"/>
          <w:color w:val="000000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color="000000"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</w:t>
      </w:r>
      <w:r>
        <w:rPr>
          <w:rFonts w:ascii="Times New Roman" w:hAnsi="Times New Roman"/>
          <w:sz w:val="28"/>
          <w:u w:color="000000" w:val="single"/>
        </w:rPr>
        <w:t>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rFonts w:ascii="Times New Roman" w:hAnsi="Times New Roman"/>
          <w:sz w:val="28"/>
        </w:rPr>
        <w:t xml:space="preserve"> составили 103,9 тыс. рублей, план года исполнен.</w:t>
      </w:r>
      <w:r>
        <w:rPr>
          <w:rFonts w:ascii="Times New Roman" w:hAnsi="Times New Roman"/>
          <w:sz w:val="28"/>
        </w:rPr>
        <w:t xml:space="preserve"> В сравнении с аналогичным периодом прошлого года доходы посту</w:t>
      </w:r>
      <w:r>
        <w:rPr>
          <w:rFonts w:ascii="Times New Roman" w:hAnsi="Times New Roman"/>
          <w:sz w:val="28"/>
        </w:rPr>
        <w:t>пили меньше в 3 раза, причина продажа в 2021 году 7 земельных участков находящихся в аренде</w:t>
      </w:r>
      <w:r>
        <w:rPr>
          <w:rFonts w:ascii="Times New Roman" w:hAnsi="Times New Roman"/>
          <w:color w:val="000000"/>
          <w:sz w:val="28"/>
        </w:rPr>
        <w:t>, </w:t>
      </w:r>
      <w:r>
        <w:rPr>
          <w:rFonts w:ascii="Times New Roman" w:hAnsi="Times New Roman"/>
          <w:color w:val="000000"/>
          <w:sz w:val="28"/>
        </w:rPr>
        <w:t xml:space="preserve"> по истечении 3х лет аренды (пункта 1 статьи 39,6, пункта 14 статьи 39.12 Земельного кодекса РФ от 25.10.2001 г № 136 ФЗ). В аренде остался один земельный участок.</w:t>
      </w:r>
    </w:p>
    <w:p w14:paraId="4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</w:r>
      <w:r>
        <w:rPr>
          <w:rFonts w:ascii="Times New Roman" w:hAnsi="Times New Roman"/>
          <w:sz w:val="28"/>
        </w:rPr>
        <w:t>и созданных ими учреждений (за исключением имущества бюджетных и автономных учреждений) составили в сумме 288,4 тыс. рублей, план года исполнен. В сравнении с аналогичным периодом прошлого года доходы поступили больше на 14,5 тыс. рублей.</w:t>
      </w:r>
    </w:p>
    <w:p w14:paraId="4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сдачи</w:t>
      </w:r>
      <w:r>
        <w:rPr>
          <w:rFonts w:ascii="Times New Roman" w:hAnsi="Times New Roman"/>
          <w:sz w:val="28"/>
        </w:rPr>
        <w:t xml:space="preserve"> в аренду имущества, составляющего государственную (муниципальную) казну (за исключением земельных участков) поступили в сумме 14,2 тыс. рублей, план года исполнен. В сравнении с аналогичным периодом прошлого года доходы поступили меньше на 10,3 тыс. рубле</w:t>
      </w:r>
      <w:r>
        <w:rPr>
          <w:rFonts w:ascii="Times New Roman" w:hAnsi="Times New Roman"/>
          <w:sz w:val="28"/>
        </w:rPr>
        <w:t>й.  </w:t>
      </w:r>
    </w:p>
    <w:p w14:paraId="4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сумме 102,7 тыс. рублей поступили доходы от компенсации затрат по возмещению коммунальных услуг (компенсация коммунальных услуг МФЦ, ЦСО, АО «СБЕРБАНК», парикмахерская).</w:t>
      </w:r>
    </w:p>
    <w:p w14:paraId="4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сумме 1,2 тыс. рублей поступили доходы от денежных взысканий (штрафов) по</w:t>
      </w:r>
      <w:r>
        <w:rPr>
          <w:rFonts w:ascii="Times New Roman" w:hAnsi="Times New Roman"/>
          <w:sz w:val="28"/>
        </w:rPr>
        <w:t xml:space="preserve"> административным правонарушениям.</w:t>
      </w:r>
    </w:p>
    <w:p w14:paraId="49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A04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</w:t>
      </w:r>
    </w:p>
    <w:p w14:paraId="4B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C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от безвозмездных поступлений поступили в сумме 8 917,2 тыс. рублей, в структуре доходов на их долю приходится 37,6 %. </w:t>
      </w:r>
    </w:p>
    <w:p w14:paraId="4D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на осуществление первичного воинского учета поступили в</w:t>
      </w:r>
      <w:r>
        <w:rPr>
          <w:rFonts w:ascii="Times New Roman" w:hAnsi="Times New Roman"/>
          <w:sz w:val="28"/>
        </w:rPr>
        <w:t xml:space="preserve"> сумме 255,4 тыс.  рублей, план исполнен на 100,0%.</w:t>
      </w:r>
    </w:p>
    <w:p w14:paraId="4E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местным бюджетам на выполнение передаваемых полномочий субъектов Российской Федерации по составлению административных протоколов  поступили в сумме 0,2 тыс. рублей, план исполнен на 100%.</w:t>
      </w:r>
    </w:p>
    <w:p w14:paraId="4F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Дотации бюджетам сельских поселений на выравнивание бюджетной обеспеченности поступили в сумме 7 967,8 тыс. рублей, план исполнен на 100,0 %. В сравнении с прошлым годом доходы поступили меньше на 18 % или 1 748,5 тыс. рублей.</w:t>
      </w:r>
    </w:p>
    <w:p w14:paraId="50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Дотации бюджетам сельских пос</w:t>
      </w:r>
      <w:r>
        <w:rPr>
          <w:rFonts w:ascii="Times New Roman" w:hAnsi="Times New Roman"/>
          <w:sz w:val="28"/>
        </w:rPr>
        <w:t>елений на поддержку мер по обеспечению сбалансированности бюджетов поступили в сумме 543,8 тыс. рублей, план исполнен на 100 %.</w:t>
      </w:r>
    </w:p>
    <w:p w14:paraId="51040000">
      <w:pPr>
        <w:ind w:firstLine="900" w:left="0"/>
        <w:jc w:val="center"/>
        <w:rPr>
          <w:sz w:val="28"/>
        </w:rPr>
      </w:pPr>
    </w:p>
    <w:p w14:paraId="52040000">
      <w:pPr>
        <w:ind w:firstLine="900" w:left="0"/>
        <w:jc w:val="center"/>
        <w:rPr>
          <w:sz w:val="28"/>
        </w:rPr>
      </w:pPr>
      <w:r>
        <w:rPr>
          <w:sz w:val="28"/>
        </w:rPr>
        <w:t>Расходная часть бюджета</w:t>
      </w:r>
    </w:p>
    <w:p w14:paraId="53040000">
      <w:pPr>
        <w:ind w:firstLine="900" w:left="0"/>
        <w:jc w:val="center"/>
        <w:rPr>
          <w:sz w:val="28"/>
        </w:rPr>
      </w:pPr>
    </w:p>
    <w:p w14:paraId="54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Расходная часть бюджета за 2022 год составила в сумме 24 074,1тыс. рублей, план года исполнен н</w:t>
      </w:r>
      <w:r>
        <w:rPr>
          <w:rFonts w:ascii="Times New Roman" w:hAnsi="Times New Roman"/>
          <w:sz w:val="28"/>
        </w:rPr>
        <w:t>а 96,7 %.</w:t>
      </w:r>
    </w:p>
    <w:p w14:paraId="5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исполнен с дефицитом в сумме 384,8 тыс. рублей, покрытый за счет остатков сложившихся по состоянию на 01.01.2022 года.</w:t>
      </w:r>
    </w:p>
    <w:p w14:paraId="5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Остатки, сложившиеся по состоянию на 01.01.2023 года составили в сумме 4 002,3 тыс. рублей.</w:t>
      </w:r>
    </w:p>
    <w:p w14:paraId="5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пр</w:t>
      </w:r>
      <w:r>
        <w:rPr>
          <w:rFonts w:ascii="Times New Roman" w:hAnsi="Times New Roman"/>
          <w:sz w:val="28"/>
        </w:rPr>
        <w:t xml:space="preserve">едставлены программно-целевым методом расходования бюджетных средств, на основе утвержденных Администрацией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11 муниципальных программ (на их реализацию направлено 96,4 % от общего объема расходов).  Муниципальные прогр</w:t>
      </w:r>
      <w:r>
        <w:rPr>
          <w:rFonts w:ascii="Times New Roman" w:hAnsi="Times New Roman"/>
          <w:sz w:val="28"/>
        </w:rPr>
        <w:t xml:space="preserve">аммы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были направлены на поступательное развитие социальной сферы, коммунальной инфраструктуры. Фактическое исполнение плана по выполнению муниципальных программ составило в сумме 23 202,3 тыс. рублей, что составляет 98</w:t>
      </w:r>
      <w:r>
        <w:rPr>
          <w:rFonts w:ascii="Times New Roman" w:hAnsi="Times New Roman"/>
          <w:sz w:val="28"/>
        </w:rPr>
        <w:t>,4 процента к годовым плановым назначениям на утверждение муниципальных программ. </w:t>
      </w:r>
    </w:p>
    <w:p w14:paraId="5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жилищно-коммунального хозяйства составляют в сумме 2 110,1 тыс. рублей или 8,7 % от общей суммы расходов, годовой план исполнен на 85,4 % (в сравнении с прошлым годом меньше в 3,5 раза или на 5 379,5 тыс</w:t>
      </w:r>
      <w:r>
        <w:rPr>
          <w:rFonts w:ascii="Times New Roman" w:hAnsi="Times New Roman"/>
          <w:sz w:val="28"/>
        </w:rPr>
        <w:t>. рублей).</w:t>
      </w:r>
    </w:p>
    <w:p w14:paraId="5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культуру и спорт составляют 11 669,0 тыс. рублей, 48,5 % от общей суммы расходов, годовой план исполнен (в сравнении с прошлым годом расходы больше на 766,2 тыс. рублей).</w:t>
      </w:r>
    </w:p>
    <w:p w14:paraId="5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бюджете поселения на 01.01.2023 год отсутствует просроченная кредиторс</w:t>
      </w:r>
      <w:r>
        <w:rPr>
          <w:rFonts w:ascii="Times New Roman" w:hAnsi="Times New Roman"/>
          <w:sz w:val="28"/>
        </w:rPr>
        <w:t>кая задолженность.</w:t>
      </w:r>
    </w:p>
    <w:p w14:paraId="5B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Расходование бюджетных средств направлено по следующим разделам:</w:t>
      </w:r>
    </w:p>
    <w:p w14:paraId="5C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D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ОБЩЕГОСУДАРСТВЕННЫЕ ВОПРОСЫ</w:t>
      </w:r>
    </w:p>
    <w:p w14:paraId="5E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расходы по этому направлению составили в сумме 9 809,6 тыс. рублей, в сравнении с прошлым годом на 146,5 тыс. рублей меньше.</w:t>
      </w:r>
    </w:p>
    <w:p w14:paraId="5F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асходы на содержа</w:t>
      </w:r>
      <w:r>
        <w:rPr>
          <w:rFonts w:ascii="Times New Roman" w:hAnsi="Times New Roman"/>
          <w:sz w:val="28"/>
        </w:rPr>
        <w:t>ние органов местного самоуправления исполнены в сумме 9 454,2 тыс. рублей, 39,3 %.</w:t>
      </w:r>
    </w:p>
    <w:p w14:paraId="60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составили в сумме 185,4 тыс. </w:t>
      </w:r>
      <w:r>
        <w:rPr>
          <w:rFonts w:ascii="Times New Roman" w:hAnsi="Times New Roman"/>
          <w:sz w:val="28"/>
        </w:rPr>
        <w:t>рублей, план исполнен на 99,7% (расходы направлены на выплату заработной платы и начислений на заработную плату в сумме 178,5 тыс. рублей, на приобретение программного обеспечения Контур в сумме 6,9 тыс. рублей).</w:t>
      </w:r>
    </w:p>
    <w:p w14:paraId="61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Расходы на Функционирование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>ительства Российской Федерации высших исполнительных органов государственной  власти субъектов Российской</w:t>
      </w:r>
      <w:r>
        <w:rPr>
          <w:rFonts w:ascii="Times New Roman" w:hAnsi="Times New Roman"/>
          <w:sz w:val="28"/>
        </w:rPr>
        <w:t xml:space="preserve"> Федерации, местных администраций в сумме 9 269,0 тыс. рублей, план исполнен на 99,8 %.</w:t>
      </w:r>
    </w:p>
    <w:p w14:paraId="62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р</w:t>
      </w:r>
      <w:r>
        <w:rPr>
          <w:rFonts w:ascii="Times New Roman" w:hAnsi="Times New Roman"/>
          <w:sz w:val="28"/>
          <w:u w:color="000000" w:val="single"/>
        </w:rPr>
        <w:t>асходы по обеспечению пожарной безопасности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в сумме 35,9 тыс. рублей или на 100,0% к годовому плану. Расходы направлены на техническое обслуживание пожарной сигнализации, техническое испытание электропроводки.</w:t>
      </w:r>
    </w:p>
    <w:p w14:paraId="63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  <w:u w:color="000000" w:val="single"/>
        </w:rPr>
        <w:t>р</w:t>
      </w:r>
      <w:r>
        <w:rPr>
          <w:rFonts w:ascii="Times New Roman" w:hAnsi="Times New Roman"/>
          <w:sz w:val="28"/>
          <w:u w:color="000000" w:val="single"/>
        </w:rPr>
        <w:t>асходы по оплате труда и начисления на выплаты по оплате труда</w:t>
      </w:r>
      <w:r>
        <w:rPr>
          <w:rFonts w:ascii="Times New Roman" w:hAnsi="Times New Roman"/>
          <w:sz w:val="28"/>
        </w:rPr>
        <w:t xml:space="preserve"> руководства и работников </w:t>
      </w:r>
      <w:r>
        <w:rPr>
          <w:rFonts w:ascii="Times New Roman" w:hAnsi="Times New Roman"/>
          <w:sz w:val="28"/>
        </w:rPr>
        <w:t>Администрации сельского поселения составили в сумме 7 692,0 тыс. рублей, план исполнен на 99,9 процентов;</w:t>
      </w:r>
    </w:p>
    <w:p w14:paraId="6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  <w:u w:color="000000" w:val="single"/>
        </w:rPr>
        <w:t>р</w:t>
      </w:r>
      <w:r>
        <w:rPr>
          <w:rFonts w:ascii="Times New Roman" w:hAnsi="Times New Roman"/>
          <w:sz w:val="28"/>
          <w:u w:color="000000" w:val="single"/>
        </w:rPr>
        <w:t>асходы на обеспечение функций</w:t>
      </w:r>
      <w:r>
        <w:rPr>
          <w:rFonts w:ascii="Times New Roman" w:hAnsi="Times New Roman"/>
          <w:sz w:val="28"/>
        </w:rPr>
        <w:t xml:space="preserve"> Администрации поселения составили в сумме 1 486,0 тыс. рублей, план исполнен на 98,6 % к </w:t>
      </w:r>
      <w:r>
        <w:rPr>
          <w:rFonts w:ascii="Times New Roman" w:hAnsi="Times New Roman"/>
          <w:sz w:val="28"/>
        </w:rPr>
        <w:t>годовым назначениям, из них:  услуги связи 58,5 тыс. рублей, коммунальные услуги 892,1 тыс. рублей; работы и услуги по содержанию имущества – 94,5 тыс. рублей (дератизация, техобслуживание автомобилей, котлов, газопровода, гидравлические испытания отопител</w:t>
      </w:r>
      <w:r>
        <w:rPr>
          <w:rFonts w:ascii="Times New Roman" w:hAnsi="Times New Roman"/>
          <w:sz w:val="28"/>
        </w:rPr>
        <w:t xml:space="preserve">ьной системы и </w:t>
      </w:r>
      <w:r>
        <w:rPr>
          <w:rFonts w:ascii="Times New Roman" w:hAnsi="Times New Roman"/>
          <w:sz w:val="28"/>
        </w:rPr>
        <w:t>шиномонтаж</w:t>
      </w:r>
      <w:r>
        <w:rPr>
          <w:rFonts w:ascii="Times New Roman" w:hAnsi="Times New Roman"/>
          <w:sz w:val="28"/>
        </w:rPr>
        <w:t>),  ГСМ в сумме 274,7 тыс. рублей, прочие работы в сумме 38,1тыс. рублей (медосмотр водителей), материальные запасы в сумме 94,4 тыс. рублей (</w:t>
      </w:r>
      <w:r>
        <w:rPr>
          <w:rFonts w:ascii="Times New Roman" w:hAnsi="Times New Roman"/>
          <w:sz w:val="28"/>
        </w:rPr>
        <w:t>хозтовары</w:t>
      </w:r>
      <w:r>
        <w:rPr>
          <w:rFonts w:ascii="Times New Roman" w:hAnsi="Times New Roman"/>
          <w:sz w:val="28"/>
        </w:rPr>
        <w:t xml:space="preserve"> -9,4 тыс. рублей, канцтовары-39,4 тыс. рублей, запас. части авто 31,5 тыс. рубл</w:t>
      </w:r>
      <w:r>
        <w:rPr>
          <w:rFonts w:ascii="Times New Roman" w:hAnsi="Times New Roman"/>
          <w:sz w:val="28"/>
        </w:rPr>
        <w:t xml:space="preserve">ей, </w:t>
      </w:r>
      <w:r>
        <w:rPr>
          <w:rFonts w:ascii="Times New Roman" w:hAnsi="Times New Roman"/>
          <w:sz w:val="28"/>
        </w:rPr>
        <w:t>запас</w:t>
      </w:r>
      <w:r>
        <w:rPr>
          <w:rFonts w:ascii="Times New Roman" w:hAnsi="Times New Roman"/>
          <w:sz w:val="28"/>
        </w:rPr>
        <w:t>.ч</w:t>
      </w:r>
      <w:r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 xml:space="preserve"> оргтехники – 12,3 тыс. рублей).</w:t>
      </w:r>
    </w:p>
    <w:p w14:paraId="6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  <w:u w:val="single"/>
        </w:rPr>
        <w:t>Расходы по диспансеризации муниципальных служащих</w:t>
      </w:r>
      <w:r>
        <w:rPr>
          <w:rFonts w:ascii="Times New Roman" w:hAnsi="Times New Roman"/>
          <w:sz w:val="28"/>
        </w:rPr>
        <w:t xml:space="preserve"> составили в сумме 17,7 тыс. рублей, план исполнен на 99,8 % к годовым назначениям.</w:t>
      </w:r>
    </w:p>
    <w:p w14:paraId="6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  <w:u w:color="000000" w:val="single"/>
        </w:rPr>
        <w:t>расходы по уплате налогов</w:t>
      </w:r>
      <w:r>
        <w:rPr>
          <w:rFonts w:ascii="Times New Roman" w:hAnsi="Times New Roman"/>
          <w:sz w:val="28"/>
        </w:rPr>
        <w:t xml:space="preserve"> (земельного, транспортного) составили в</w:t>
      </w:r>
      <w:r>
        <w:rPr>
          <w:rFonts w:ascii="Times New Roman" w:hAnsi="Times New Roman"/>
          <w:sz w:val="28"/>
        </w:rPr>
        <w:t xml:space="preserve"> сумме 37,2 тыс. рублей, план исполнен на 99,9%.</w:t>
      </w:r>
    </w:p>
    <w:p w14:paraId="6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Субвенция на осуществление полномочий по административным правонарушениям составили в сумме 0,2 тыс. рублей, план исполнен на 100,0%.</w:t>
      </w:r>
    </w:p>
    <w:p w14:paraId="6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6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Другие общегосударственные вопросы составили в сумме 355,2 тыс. рублей пл</w:t>
      </w:r>
      <w:r>
        <w:rPr>
          <w:rFonts w:ascii="Times New Roman" w:hAnsi="Times New Roman"/>
          <w:sz w:val="28"/>
        </w:rPr>
        <w:t>ан исполнен на 99,7%:</w:t>
      </w:r>
    </w:p>
    <w:p w14:paraId="6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  <w:u w:color="000000" w:val="single"/>
        </w:rPr>
        <w:t xml:space="preserve">расходы по </w:t>
      </w:r>
      <w:r>
        <w:rPr>
          <w:rFonts w:ascii="Times New Roman" w:hAnsi="Times New Roman"/>
          <w:sz w:val="28"/>
          <w:u w:color="000000" w:val="single"/>
        </w:rPr>
        <w:t>информационным услугам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 составили в сумме 223,6 тыс. рублей, 99,7% к плану года. Расходы направлены на получение информационных услуг Консультант+, обслуживание сайта, программное обеспечение</w:t>
      </w:r>
      <w:r>
        <w:rPr>
          <w:rFonts w:ascii="Times New Roman" w:hAnsi="Times New Roman"/>
          <w:sz w:val="28"/>
        </w:rPr>
        <w:t xml:space="preserve"> средства защиты информации, </w:t>
      </w:r>
      <w:r>
        <w:rPr>
          <w:rFonts w:ascii="Times New Roman" w:hAnsi="Times New Roman"/>
          <w:sz w:val="28"/>
        </w:rPr>
        <w:t xml:space="preserve">Контур, </w:t>
      </w:r>
      <w:r>
        <w:rPr>
          <w:rFonts w:ascii="Times New Roman" w:hAnsi="Times New Roman"/>
          <w:sz w:val="28"/>
        </w:rPr>
        <w:t>1-С бухгалтерия.</w:t>
      </w:r>
    </w:p>
    <w:p w14:paraId="6B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color="000000" w:val="single"/>
        </w:rPr>
        <w:t>расходы по уплате налого</w:t>
      </w:r>
      <w:r>
        <w:rPr>
          <w:rFonts w:ascii="Times New Roman" w:hAnsi="Times New Roman"/>
          <w:sz w:val="28"/>
          <w:u w:color="000000" w:val="single"/>
        </w:rPr>
        <w:t>в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транспортного) составили в сумме 7,0 тыс. рублей, план исполнен на 100,0%.</w:t>
      </w:r>
    </w:p>
    <w:p w14:paraId="6C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>
        <w:rPr>
          <w:rFonts w:ascii="Times New Roman" w:hAnsi="Times New Roman"/>
          <w:sz w:val="28"/>
          <w:u w:color="000000" w:val="single"/>
        </w:rPr>
        <w:t>расходы по иным межбюджетным трансфертам</w:t>
      </w:r>
      <w:r>
        <w:rPr>
          <w:rFonts w:ascii="Times New Roman" w:hAnsi="Times New Roman"/>
          <w:sz w:val="28"/>
        </w:rPr>
        <w:t xml:space="preserve"> составили в сумме 74,3 тыс. рублей, план исполнен на 100,0%. Средства направлены на пер</w:t>
      </w:r>
      <w:r>
        <w:rPr>
          <w:rFonts w:ascii="Times New Roman" w:hAnsi="Times New Roman"/>
          <w:sz w:val="28"/>
        </w:rPr>
        <w:t>едачу полномочий по внутреннему муниципальному финансовому контролю в Администрацию Куйбышевского района.</w:t>
      </w:r>
    </w:p>
    <w:p w14:paraId="6D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>
        <w:rPr>
          <w:rFonts w:ascii="Times New Roman" w:hAnsi="Times New Roman"/>
          <w:sz w:val="28"/>
          <w:u w:color="000000" w:val="single"/>
        </w:rPr>
        <w:t>прочие  расходы</w:t>
      </w:r>
      <w:r>
        <w:rPr>
          <w:rFonts w:ascii="Times New Roman" w:hAnsi="Times New Roman"/>
          <w:sz w:val="28"/>
        </w:rPr>
        <w:t xml:space="preserve"> в сумме 20,0 тыс. рублей. Средства направлены на уплату членских взносов в СМО РО.</w:t>
      </w:r>
    </w:p>
    <w:p w14:paraId="6E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>
        <w:rPr>
          <w:rFonts w:ascii="Times New Roman" w:hAnsi="Times New Roman"/>
          <w:sz w:val="28"/>
          <w:u w:color="000000" w:val="single"/>
        </w:rPr>
        <w:t>прочие  расходы</w:t>
      </w:r>
      <w:r>
        <w:rPr>
          <w:rFonts w:ascii="Times New Roman" w:hAnsi="Times New Roman"/>
          <w:sz w:val="28"/>
        </w:rPr>
        <w:t xml:space="preserve"> в сумме 19,4 тыс. рублей.</w:t>
      </w:r>
      <w:r>
        <w:rPr>
          <w:rFonts w:ascii="Times New Roman" w:hAnsi="Times New Roman"/>
          <w:sz w:val="28"/>
        </w:rPr>
        <w:t xml:space="preserve"> Средства направлены на приобретение венков к мероприятиям памяти времен ВОВ.  </w:t>
      </w:r>
    </w:p>
    <w:p w14:paraId="6F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>
        <w:rPr>
          <w:rFonts w:ascii="Times New Roman" w:hAnsi="Times New Roman"/>
          <w:color w:val="000000"/>
          <w:sz w:val="28"/>
          <w:u w:val="single"/>
        </w:rPr>
        <w:t xml:space="preserve">Расходы </w:t>
      </w:r>
      <w:r>
        <w:rPr>
          <w:rFonts w:ascii="Times New Roman" w:hAnsi="Times New Roman"/>
          <w:color w:val="000000"/>
          <w:sz w:val="28"/>
          <w:u w:val="single"/>
        </w:rPr>
        <w:t>на приведение состояния зданий в соотв</w:t>
      </w:r>
      <w:r>
        <w:rPr>
          <w:rFonts w:ascii="Times New Roman" w:hAnsi="Times New Roman"/>
          <w:sz w:val="28"/>
        </w:rPr>
        <w:t>етствие с требованиями строительных норм по обеспечению их доступности для инвалидов</w:t>
      </w:r>
      <w:r>
        <w:rPr>
          <w:rFonts w:ascii="Times New Roman" w:hAnsi="Times New Roman"/>
          <w:sz w:val="28"/>
        </w:rPr>
        <w:t>, в сумме 1,9 тыс. рублей, годовой план и</w:t>
      </w:r>
      <w:r>
        <w:rPr>
          <w:rFonts w:ascii="Times New Roman" w:hAnsi="Times New Roman"/>
          <w:sz w:val="28"/>
        </w:rPr>
        <w:t>сполнен на 95,1 %, средства направлены на ремонт кнопки вызова.</w:t>
      </w:r>
    </w:p>
    <w:p w14:paraId="70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</w:t>
      </w:r>
      <w:r>
        <w:rPr>
          <w:rFonts w:ascii="Times New Roman" w:hAnsi="Times New Roman"/>
          <w:sz w:val="28"/>
          <w:u w:val="single"/>
        </w:rPr>
        <w:t>Расходы на мероприятия по усилению антитеррористическ</w:t>
      </w:r>
      <w:r>
        <w:rPr>
          <w:rFonts w:ascii="Times New Roman" w:hAnsi="Times New Roman"/>
          <w:sz w:val="28"/>
        </w:rPr>
        <w:t>ой защищённости объектов социального назначения в сумме 2,0 тыс. рублей, план года исполнен на 100,0%, средства направлены на приобрет</w:t>
      </w:r>
      <w:r>
        <w:rPr>
          <w:rFonts w:ascii="Times New Roman" w:hAnsi="Times New Roman"/>
          <w:sz w:val="28"/>
        </w:rPr>
        <w:t>ение стенда.</w:t>
      </w:r>
    </w:p>
    <w:p w14:paraId="71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</w:t>
      </w:r>
      <w:r>
        <w:rPr>
          <w:rFonts w:ascii="Times New Roman" w:hAnsi="Times New Roman"/>
          <w:sz w:val="28"/>
          <w:u w:val="single"/>
        </w:rPr>
        <w:t xml:space="preserve">Расходы </w:t>
      </w:r>
      <w:r>
        <w:rPr>
          <w:rFonts w:ascii="Times New Roman" w:hAnsi="Times New Roman"/>
          <w:sz w:val="28"/>
          <w:u w:val="single"/>
        </w:rPr>
        <w:t>по о</w:t>
      </w:r>
      <w:r>
        <w:rPr>
          <w:rFonts w:ascii="Times New Roman" w:hAnsi="Times New Roman"/>
          <w:sz w:val="28"/>
          <w:u w:val="single"/>
        </w:rPr>
        <w:t>ценк</w:t>
      </w:r>
      <w:r>
        <w:rPr>
          <w:rFonts w:ascii="Times New Roman" w:hAnsi="Times New Roman"/>
          <w:sz w:val="28"/>
          <w:u w:val="single"/>
        </w:rPr>
        <w:t>е</w:t>
      </w:r>
      <w:r>
        <w:rPr>
          <w:rFonts w:ascii="Times New Roman" w:hAnsi="Times New Roman"/>
          <w:sz w:val="28"/>
          <w:u w:val="single"/>
        </w:rPr>
        <w:t xml:space="preserve"> муниципального имущества</w:t>
      </w:r>
      <w:r>
        <w:rPr>
          <w:rFonts w:ascii="Times New Roman" w:hAnsi="Times New Roman"/>
          <w:sz w:val="28"/>
        </w:rPr>
        <w:t xml:space="preserve">, признание прав и регулирование отношений по муниципальной собственности </w:t>
      </w:r>
      <w:r>
        <w:rPr>
          <w:rFonts w:ascii="Times New Roman" w:hAnsi="Times New Roman"/>
          <w:sz w:val="28"/>
        </w:rPr>
        <w:t>составили в сумме 7,0 тыс. рублей, план исполнен на 100,0%. Расходы направлены на проведение оценки муниципального имущества.</w:t>
      </w:r>
    </w:p>
    <w:p w14:paraId="72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3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  ОБОРОНА</w:t>
      </w:r>
    </w:p>
    <w:p w14:paraId="74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Расх</w:t>
      </w:r>
      <w:r>
        <w:rPr>
          <w:rFonts w:ascii="Times New Roman" w:hAnsi="Times New Roman"/>
          <w:sz w:val="28"/>
          <w:u w:val="single"/>
        </w:rPr>
        <w:t xml:space="preserve">оды </w:t>
      </w:r>
      <w:r>
        <w:rPr>
          <w:rFonts w:ascii="Times New Roman" w:hAnsi="Times New Roman"/>
          <w:sz w:val="28"/>
          <w:u w:val="single"/>
        </w:rPr>
        <w:t>на осуществление первичного воинского учета</w:t>
      </w:r>
      <w:r>
        <w:rPr>
          <w:rFonts w:ascii="Times New Roman" w:hAnsi="Times New Roman"/>
          <w:sz w:val="28"/>
        </w:rPr>
        <w:t xml:space="preserve"> на территориях, где отсутствуют военные комиссариаты</w:t>
      </w:r>
      <w:r>
        <w:rPr>
          <w:rFonts w:ascii="Times New Roman" w:hAnsi="Times New Roman"/>
          <w:sz w:val="28"/>
        </w:rPr>
        <w:t xml:space="preserve"> в сумме 255,4 тыс. рублей, план исполнен на 100,0% (средства израсходованы на выплату заработной платы и начислений по оплате труда</w:t>
      </w:r>
      <w:r>
        <w:rPr>
          <w:rFonts w:ascii="Times New Roman" w:hAnsi="Times New Roman"/>
          <w:sz w:val="28"/>
        </w:rPr>
        <w:t>, приобретение канцелярских товаров в сумме 5,9 тыс. рублей</w:t>
      </w:r>
      <w:r>
        <w:rPr>
          <w:rFonts w:ascii="Times New Roman" w:hAnsi="Times New Roman"/>
          <w:sz w:val="28"/>
        </w:rPr>
        <w:t>).</w:t>
      </w:r>
    </w:p>
    <w:p w14:paraId="75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6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БЕЗОПАСН</w:t>
      </w:r>
      <w:r>
        <w:rPr>
          <w:rFonts w:ascii="Times New Roman" w:hAnsi="Times New Roman"/>
          <w:sz w:val="28"/>
        </w:rPr>
        <w:t>ОСТЬ И ПРАВООХРАНИТЕЛЬНАЯ ДЕЯТЕЛЬНОСТЬ</w:t>
      </w:r>
    </w:p>
    <w:p w14:paraId="77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u w:val="single"/>
        </w:rPr>
        <w:t>асходы направлены на обеспечение мероприятий пожарной безопасности</w:t>
      </w:r>
      <w:r>
        <w:rPr>
          <w:rFonts w:ascii="Times New Roman" w:hAnsi="Times New Roman"/>
          <w:sz w:val="28"/>
        </w:rPr>
        <w:t xml:space="preserve"> в сумме 29.8 тыс. рублей, план исполнен на 99,3 % (средства израсходованы на противопожарную опашку территории).</w:t>
      </w:r>
    </w:p>
    <w:p w14:paraId="78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9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ЭКОНОМИКА</w:t>
      </w:r>
    </w:p>
    <w:p w14:paraId="7A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</w:t>
      </w:r>
      <w:r>
        <w:rPr>
          <w:rFonts w:ascii="Times New Roman" w:hAnsi="Times New Roman"/>
          <w:sz w:val="28"/>
        </w:rPr>
        <w:t>ценк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муниципального имущества, признание прав и регулирование отношений по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составили в сумме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,0 тыс. рублей, план исполнен на 100,0%. Расходы направлены на </w:t>
      </w:r>
      <w:r>
        <w:rPr>
          <w:rFonts w:ascii="Times New Roman" w:hAnsi="Times New Roman"/>
          <w:sz w:val="28"/>
        </w:rPr>
        <w:t>образование земельного участка</w:t>
      </w:r>
      <w:r>
        <w:rPr>
          <w:rFonts w:ascii="Times New Roman" w:hAnsi="Times New Roman"/>
          <w:sz w:val="28"/>
        </w:rPr>
        <w:t>.</w:t>
      </w:r>
    </w:p>
    <w:p w14:paraId="7B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C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</w:t>
      </w:r>
    </w:p>
    <w:p w14:paraId="7D04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ходы составили в сумме 2 110,2 тыс. рублей, план исполнен на 85,4 %.</w:t>
      </w:r>
    </w:p>
    <w:p w14:paraId="7E040000">
      <w:pPr>
        <w:ind w:firstLine="851" w:left="0"/>
        <w:jc w:val="center"/>
        <w:rPr>
          <w:rFonts w:ascii="Times New Roman" w:hAnsi="Times New Roman"/>
          <w:sz w:val="28"/>
        </w:rPr>
      </w:pPr>
    </w:p>
    <w:p w14:paraId="7F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</w:t>
      </w:r>
      <w:r>
        <w:rPr>
          <w:rFonts w:ascii="Times New Roman" w:hAnsi="Times New Roman"/>
          <w:sz w:val="28"/>
          <w:u w:val="single"/>
        </w:rPr>
        <w:t>Коммунальное хозяйство</w:t>
      </w:r>
      <w:r>
        <w:rPr>
          <w:rFonts w:ascii="Times New Roman" w:hAnsi="Times New Roman"/>
          <w:sz w:val="28"/>
        </w:rPr>
        <w:t xml:space="preserve"> </w:t>
      </w:r>
    </w:p>
    <w:p w14:paraId="80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Содержание и ремонт газового хозяйства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6,0 тыс. рублей, годовой план исполнен на 100,0, расхода направлены на техническое обслуживание и ремонту объектов газового хозяйства в х. </w:t>
      </w:r>
      <w:r>
        <w:rPr>
          <w:rFonts w:ascii="Times New Roman" w:hAnsi="Times New Roman"/>
          <w:sz w:val="28"/>
        </w:rPr>
        <w:t>Карташ</w:t>
      </w:r>
      <w:r>
        <w:rPr>
          <w:rFonts w:ascii="Times New Roman" w:hAnsi="Times New Roman"/>
          <w:sz w:val="28"/>
        </w:rPr>
        <w:t>ево</w:t>
      </w:r>
      <w:r>
        <w:rPr>
          <w:rFonts w:ascii="Times New Roman" w:hAnsi="Times New Roman"/>
          <w:sz w:val="28"/>
        </w:rPr>
        <w:t>.</w:t>
      </w:r>
    </w:p>
    <w:p w14:paraId="81040000">
      <w:pPr>
        <w:ind w:firstLine="851" w:left="0"/>
        <w:jc w:val="center"/>
        <w:rPr>
          <w:rFonts w:ascii="Times New Roman" w:hAnsi="Times New Roman"/>
          <w:sz w:val="28"/>
        </w:rPr>
      </w:pPr>
    </w:p>
    <w:p w14:paraId="82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</w:t>
      </w:r>
      <w:r>
        <w:rPr>
          <w:rFonts w:ascii="Times New Roman" w:hAnsi="Times New Roman"/>
          <w:sz w:val="28"/>
          <w:u w:val="single"/>
        </w:rPr>
        <w:t>Благоустройство</w:t>
      </w:r>
      <w:r>
        <w:rPr>
          <w:rFonts w:ascii="Times New Roman" w:hAnsi="Times New Roman"/>
          <w:sz w:val="28"/>
        </w:rPr>
        <w:t xml:space="preserve"> в сумме 2 104,2 тыс. рублей из них: </w:t>
      </w:r>
    </w:p>
    <w:p w14:paraId="83040000">
      <w:pPr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Расходы по обеспечению мероприятий по формированию  современной городской среды в части  благоустройства  общественных территорий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составили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 xml:space="preserve">357,3 </w:t>
      </w:r>
      <w:r>
        <w:rPr>
          <w:rFonts w:ascii="Times New Roman" w:hAnsi="Times New Roman"/>
          <w:sz w:val="28"/>
        </w:rPr>
        <w:t xml:space="preserve">тыс. рублей, план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%. Расходы направлены</w:t>
      </w:r>
      <w:r>
        <w:rPr>
          <w:rFonts w:ascii="Times New Roman" w:hAnsi="Times New Roman"/>
          <w:sz w:val="28"/>
        </w:rPr>
        <w:t xml:space="preserve"> на ремонт игрового комплекса и приобретение 62 </w:t>
      </w:r>
      <w:r>
        <w:rPr>
          <w:rFonts w:ascii="Times New Roman" w:hAnsi="Times New Roman"/>
          <w:sz w:val="28"/>
        </w:rPr>
        <w:t xml:space="preserve">саженцев деревьев для благоустройства общественной территории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с. Миллерово</w:t>
      </w:r>
    </w:p>
    <w:p w14:paraId="8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Расходы по содержанию памятников и кладбищ</w:t>
      </w:r>
      <w:r>
        <w:rPr>
          <w:rFonts w:ascii="Times New Roman" w:hAnsi="Times New Roman"/>
          <w:sz w:val="28"/>
        </w:rPr>
        <w:t xml:space="preserve"> в сумме 181,5 тыс. рублей, план исполнен на 99,9 % (приобретение стройматериалов 64,7 тыс. рублей, приобретение мемориальных знаков – 13,4 тыс.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sz w:val="28"/>
        </w:rPr>
        <w:t>акарицидная</w:t>
      </w:r>
      <w:r>
        <w:rPr>
          <w:rFonts w:ascii="Times New Roman" w:hAnsi="Times New Roman"/>
          <w:sz w:val="28"/>
        </w:rPr>
        <w:t xml:space="preserve"> обработка кладбищ -13,3 тыс. рублей, </w:t>
      </w:r>
      <w:r>
        <w:rPr>
          <w:rFonts w:ascii="Times New Roman" w:hAnsi="Times New Roman"/>
          <w:sz w:val="28"/>
        </w:rPr>
        <w:t>обкос</w:t>
      </w:r>
      <w:r>
        <w:rPr>
          <w:rFonts w:ascii="Times New Roman" w:hAnsi="Times New Roman"/>
          <w:sz w:val="28"/>
        </w:rPr>
        <w:t xml:space="preserve"> территории – 18,1 тыс. рублей, вывоз несанкционированных свалок -72,0 тыс. рублей, );</w:t>
      </w:r>
    </w:p>
    <w:p w14:paraId="8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rFonts w:ascii="Times New Roman" w:hAnsi="Times New Roman"/>
          <w:sz w:val="28"/>
        </w:rPr>
        <w:t xml:space="preserve"> в сумме 104,4 тыс. руб</w:t>
      </w:r>
      <w:r>
        <w:rPr>
          <w:rFonts w:ascii="Times New Roman" w:hAnsi="Times New Roman"/>
          <w:sz w:val="28"/>
        </w:rPr>
        <w:t>лей, план года исполнен на 99,9%, (спил и обрезка деревьев 25,0 тыс. рублей, текущий ремонт спортивной площадки в х. Новая Надежда, Юбилейная 13а 64,0 тыс. рублей, изготовление паспорта отходов 13,8 тыс. рублей, стройматериалы 1,5 тыс. рублей);</w:t>
      </w:r>
    </w:p>
    <w:p w14:paraId="8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 xml:space="preserve">Расходы по </w:t>
      </w:r>
      <w:r>
        <w:rPr>
          <w:rFonts w:ascii="Times New Roman" w:hAnsi="Times New Roman"/>
          <w:sz w:val="28"/>
          <w:u w:color="000000" w:val="single"/>
        </w:rPr>
        <w:t>содержанию и оплата за электроэнергию уличного освещения</w:t>
      </w:r>
      <w:r>
        <w:rPr>
          <w:rFonts w:ascii="Times New Roman" w:hAnsi="Times New Roman"/>
          <w:sz w:val="28"/>
        </w:rPr>
        <w:t xml:space="preserve"> в сумме 1 300,0 тыс. рублей, план года исполнен на 78,3%, (</w:t>
      </w:r>
      <w:r>
        <w:rPr>
          <w:rFonts w:ascii="Times New Roman" w:hAnsi="Times New Roman"/>
          <w:sz w:val="28"/>
        </w:rPr>
        <w:t>оплата электроэнергии уличного освещения  – 944,3 тыс. рублей, оплата за содержание уличного освещения 355,7 тыс. рублей).</w:t>
      </w:r>
    </w:p>
    <w:p w14:paraId="8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на м</w:t>
      </w:r>
      <w:r>
        <w:rPr>
          <w:rFonts w:ascii="Times New Roman" w:hAnsi="Times New Roman"/>
          <w:sz w:val="28"/>
          <w:u w:val="single"/>
        </w:rPr>
        <w:t>ероприятия по замене ламп накаливания</w:t>
      </w:r>
      <w:r>
        <w:rPr>
          <w:rFonts w:ascii="Times New Roman" w:hAnsi="Times New Roman"/>
          <w:sz w:val="28"/>
        </w:rPr>
        <w:t xml:space="preserve"> и других неэффективных элементов систем освещения, в том числе светильников, на энергосберегающие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10,0</w:t>
      </w:r>
      <w:r>
        <w:rPr>
          <w:rFonts w:ascii="Times New Roman" w:hAnsi="Times New Roman"/>
          <w:sz w:val="28"/>
        </w:rPr>
        <w:t xml:space="preserve"> тыс. рублей, план года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%, </w:t>
      </w:r>
      <w:r>
        <w:rPr>
          <w:rFonts w:ascii="Times New Roman" w:hAnsi="Times New Roman"/>
          <w:sz w:val="28"/>
        </w:rPr>
        <w:t xml:space="preserve">Расходы направлены на замену </w:t>
      </w:r>
      <w:r>
        <w:rPr>
          <w:rFonts w:ascii="Times New Roman" w:hAnsi="Times New Roman"/>
          <w:sz w:val="28"/>
        </w:rPr>
        <w:t>энергосберегающи</w:t>
      </w:r>
      <w:r>
        <w:rPr>
          <w:rFonts w:ascii="Times New Roman" w:hAnsi="Times New Roman"/>
          <w:sz w:val="28"/>
        </w:rPr>
        <w:t>х ламп.</w:t>
      </w:r>
    </w:p>
    <w:p w14:paraId="8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</w:t>
      </w:r>
      <w:r>
        <w:rPr>
          <w:rFonts w:ascii="Times New Roman" w:hAnsi="Times New Roman"/>
          <w:sz w:val="28"/>
          <w:u w:val="single"/>
        </w:rPr>
        <w:t xml:space="preserve"> на и</w:t>
      </w:r>
      <w:r>
        <w:rPr>
          <w:rFonts w:ascii="Times New Roman" w:hAnsi="Times New Roman"/>
          <w:sz w:val="28"/>
          <w:u w:val="single"/>
        </w:rPr>
        <w:t>ные межбюджетные трансферты передаваемые другим бюджетам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 1,0 тыс. рублей, план года исполнен на 100,0%, Расходы направлены на</w:t>
      </w:r>
      <w:r>
        <w:rPr>
          <w:rFonts w:ascii="Times New Roman" w:hAnsi="Times New Roman"/>
          <w:sz w:val="28"/>
        </w:rPr>
        <w:t xml:space="preserve"> передачу полномочий Администрации Куйбышевского района </w:t>
      </w:r>
      <w:r>
        <w:rPr>
          <w:rFonts w:ascii="Times New Roman" w:hAnsi="Times New Roman"/>
          <w:sz w:val="28"/>
        </w:rPr>
        <w:t>по организации ритуальных услуг</w:t>
      </w:r>
      <w:r>
        <w:rPr>
          <w:rFonts w:ascii="Times New Roman" w:hAnsi="Times New Roman"/>
          <w:sz w:val="28"/>
        </w:rPr>
        <w:t>.</w:t>
      </w:r>
    </w:p>
    <w:p w14:paraId="89040000">
      <w:pPr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Расходы на и</w:t>
      </w:r>
      <w:r>
        <w:rPr>
          <w:rFonts w:ascii="Times New Roman" w:hAnsi="Times New Roman"/>
          <w:sz w:val="28"/>
          <w:u w:val="single"/>
        </w:rPr>
        <w:t>ные межбюджетные трансферты за счет средств резервного фонда Правительства Ростовской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150</w:t>
      </w:r>
      <w:r>
        <w:rPr>
          <w:rFonts w:ascii="Times New Roman" w:hAnsi="Times New Roman"/>
          <w:sz w:val="28"/>
        </w:rPr>
        <w:t>,0 тыс. рублей, план года исполнен на 100,0%, Расходы направлены 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приобретение уличных светильников ЭРА с кронштейном (40 штук) для последующей установки по адресу: Ростовская область, Куйбышевский район, с. Миллерово, ул. </w:t>
      </w:r>
      <w:r>
        <w:rPr>
          <w:rFonts w:ascii="Times New Roman" w:hAnsi="Times New Roman"/>
          <w:sz w:val="28"/>
        </w:rPr>
        <w:t>Ярового</w:t>
      </w:r>
      <w:r>
        <w:rPr>
          <w:rFonts w:ascii="Times New Roman" w:hAnsi="Times New Roman"/>
          <w:sz w:val="28"/>
        </w:rPr>
        <w:t>, 30</w:t>
      </w:r>
      <w:r>
        <w:rPr>
          <w:rFonts w:ascii="Times New Roman" w:hAnsi="Times New Roman"/>
          <w:sz w:val="28"/>
        </w:rPr>
        <w:t>.</w:t>
      </w:r>
    </w:p>
    <w:p w14:paraId="8A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ОКРУЖАЮЩЕЙ</w:t>
      </w:r>
      <w:r>
        <w:rPr>
          <w:rFonts w:ascii="Times New Roman" w:hAnsi="Times New Roman"/>
          <w:sz w:val="28"/>
        </w:rPr>
        <w:t xml:space="preserve"> СРЕДЫ</w:t>
      </w:r>
    </w:p>
    <w:p w14:paraId="8B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направлены на комплексные услуги по обращению с ртутьсодержащими отходами в сумме 31,1 тыс. рублей, план года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 % (сбор и удаление ртуть содержащих отходов).</w:t>
      </w:r>
    </w:p>
    <w:p w14:paraId="8C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8D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</w:t>
      </w:r>
    </w:p>
    <w:p w14:paraId="8E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повышение квалификации в сумме 10,0 тыс. рублей, план года исполнен на 100,0%. Обучение прошли 2 сотрудника программе гражданская оборона, защита населения от чрезвычайных ситуаций природного и техногенного характера.</w:t>
      </w:r>
    </w:p>
    <w:p w14:paraId="8F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0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</w:t>
      </w:r>
      <w:r>
        <w:rPr>
          <w:rFonts w:ascii="Times New Roman" w:hAnsi="Times New Roman"/>
          <w:sz w:val="28"/>
        </w:rPr>
        <w:t>А, КИНЕМАТОГРАФИЯ</w:t>
      </w:r>
    </w:p>
    <w:p w14:paraId="91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средства израсходованы в сумме 11 659,6 тыс. рублей, план года исполнен на 100,0 %, средства направлены на предоставление </w:t>
      </w:r>
      <w:r>
        <w:rPr>
          <w:rFonts w:ascii="Times New Roman" w:hAnsi="Times New Roman"/>
          <w:sz w:val="28"/>
          <w:u w:color="000000" w:val="single"/>
        </w:rPr>
        <w:t>субсидии МУК ЦКС К-ЛСП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color="000000" w:val="single"/>
        </w:rPr>
        <w:t>на выполнение муниципального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(расходы </w:t>
      </w:r>
      <w:r>
        <w:rPr>
          <w:rFonts w:ascii="Times New Roman" w:hAnsi="Times New Roman"/>
          <w:sz w:val="28"/>
        </w:rPr>
        <w:t>на заработную плату с начислениями в</w:t>
      </w:r>
      <w:r>
        <w:rPr>
          <w:rFonts w:ascii="Times New Roman" w:hAnsi="Times New Roman"/>
          <w:sz w:val="28"/>
        </w:rPr>
        <w:t xml:space="preserve"> сумме 7 358,8 тыс. рублей, оплата  коммунальных расходов в сумме 3 905,3 тыс. рублей, услуги связи в сумме 48,2 тыс. рублей;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ГСМ в сумме 22,6 тыс. рублей, услуги по содержанию имущества в сумме 150,5 тыс. рублей, приобретение угля 81,8 тыс. рублей, уплата</w:t>
      </w:r>
      <w:r>
        <w:rPr>
          <w:rFonts w:ascii="Times New Roman" w:hAnsi="Times New Roman"/>
          <w:sz w:val="28"/>
        </w:rPr>
        <w:t xml:space="preserve"> налогов -21,4 тыс. рублей).</w:t>
      </w:r>
    </w:p>
    <w:p w14:paraId="92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3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ПОЛИТИКА</w:t>
      </w:r>
    </w:p>
    <w:p w14:paraId="9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154,0 тыс. рублей, план года исполнен на 99,9 %.</w:t>
      </w:r>
    </w:p>
    <w:p w14:paraId="95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6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ФИЗИЧЕСКАЯ КУЛЬТУРА И </w:t>
      </w:r>
      <w:r>
        <w:rPr>
          <w:rFonts w:ascii="Times New Roman" w:hAnsi="Times New Roman"/>
          <w:sz w:val="28"/>
        </w:rPr>
        <w:t>СПОРТ</w:t>
      </w:r>
    </w:p>
    <w:p w14:paraId="9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физическое воспитание,  обеспечение организации и проведения физкультурных мероприятий и спортивных мероприятий в сумме 9,4 тыс. рублей, план года исполнен на 100,0%. (приобретение спортивного инвентаря</w:t>
      </w:r>
      <w:r>
        <w:rPr>
          <w:rFonts w:ascii="Times New Roman" w:hAnsi="Times New Roman"/>
          <w:sz w:val="28"/>
        </w:rPr>
        <w:t xml:space="preserve"> (ракетки 10 шт. и шары для настольного тенниса, резиновые спортивные шары 3 шт.)</w:t>
      </w:r>
      <w:r>
        <w:rPr>
          <w:rFonts w:ascii="Times New Roman" w:hAnsi="Times New Roman"/>
          <w:sz w:val="28"/>
        </w:rPr>
        <w:t>).</w:t>
      </w:r>
    </w:p>
    <w:p w14:paraId="98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904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сектором </w:t>
      </w:r>
      <w:r>
        <w:rPr>
          <w:rFonts w:ascii="Times New Roman" w:hAnsi="Times New Roman"/>
          <w:sz w:val="28"/>
        </w:rPr>
        <w:t>экономики и финансов                                    М.Н.Билая</w:t>
      </w:r>
    </w:p>
    <w:sectPr>
      <w:pgSz w:h="16838" w:orient="portrait" w:w="11906"/>
      <w:pgMar w:bottom="851" w:footer="709" w:gutter="0" w:header="709" w:left="1418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280" w:val="left"/>
        </w:tabs>
        <w:ind w:hanging="1200" w:left="228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980" w:val="left"/>
        </w:tabs>
        <w:ind w:hanging="360" w:left="1980"/>
      </w:pPr>
    </w:lvl>
    <w:lvl w:ilvl="2">
      <w:start w:val="1"/>
      <w:numFmt w:val="lowerRoman"/>
      <w:lvlText w:val="%3."/>
      <w:lvlJc w:val="right"/>
      <w:pPr>
        <w:tabs>
          <w:tab w:leader="none" w:pos="2700" w:val="left"/>
        </w:tabs>
        <w:ind w:hanging="180" w:left="2700"/>
      </w:pPr>
    </w:lvl>
    <w:lvl w:ilvl="3">
      <w:start w:val="1"/>
      <w:numFmt w:val="decimal"/>
      <w:lvlText w:val="%4."/>
      <w:lvlJc w:val="left"/>
      <w:pPr>
        <w:tabs>
          <w:tab w:leader="none" w:pos="3420" w:val="left"/>
        </w:tabs>
        <w:ind w:hanging="360" w:left="3420"/>
      </w:pPr>
    </w:lvl>
    <w:lvl w:ilvl="4">
      <w:start w:val="1"/>
      <w:numFmt w:val="lowerLetter"/>
      <w:lvlText w:val="%5."/>
      <w:lvlJc w:val="left"/>
      <w:pPr>
        <w:tabs>
          <w:tab w:leader="none" w:pos="4140" w:val="left"/>
        </w:tabs>
        <w:ind w:hanging="360" w:left="4140"/>
      </w:pPr>
    </w:lvl>
    <w:lvl w:ilvl="5">
      <w:start w:val="1"/>
      <w:numFmt w:val="lowerRoman"/>
      <w:lvlText w:val="%6."/>
      <w:lvlJc w:val="right"/>
      <w:pPr>
        <w:tabs>
          <w:tab w:leader="none" w:pos="4860" w:val="left"/>
        </w:tabs>
        <w:ind w:hanging="180" w:left="4860"/>
      </w:pPr>
    </w:lvl>
    <w:lvl w:ilvl="6">
      <w:start w:val="1"/>
      <w:numFmt w:val="decimal"/>
      <w:lvlText w:val="%7."/>
      <w:lvlJc w:val="left"/>
      <w:pPr>
        <w:tabs>
          <w:tab w:leader="none" w:pos="5580" w:val="left"/>
        </w:tabs>
        <w:ind w:hanging="360" w:left="5580"/>
      </w:pPr>
    </w:lvl>
    <w:lvl w:ilvl="7">
      <w:start w:val="1"/>
      <w:numFmt w:val="lowerLetter"/>
      <w:lvlText w:val="%8."/>
      <w:lvlJc w:val="left"/>
      <w:pPr>
        <w:tabs>
          <w:tab w:leader="none" w:pos="6300" w:val="left"/>
        </w:tabs>
        <w:ind w:hanging="360" w:left="6300"/>
      </w:pPr>
    </w:lvl>
    <w:lvl w:ilvl="8">
      <w:start w:val="1"/>
      <w:numFmt w:val="lowerRoman"/>
      <w:lvlText w:val="%9."/>
      <w:lvlJc w:val="right"/>
      <w:pPr>
        <w:tabs>
          <w:tab w:leader="none" w:pos="7020" w:val="left"/>
        </w:tabs>
        <w:ind w:hanging="180" w:left="70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toc 4"/>
    <w:next w:val="Style_11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нак Знак Знак1 Знак Знак Знак Знак"/>
    <w:basedOn w:val="Style_11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 Знак1 Знак Знак Знак Знак"/>
    <w:basedOn w:val="Style_11_ch"/>
    <w:link w:val="Style_18"/>
    <w:rPr>
      <w:rFonts w:ascii="Tahoma" w:hAnsi="Tahoma"/>
      <w:sz w:val="20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19" w:type="paragraph">
    <w:name w:val="heading 3"/>
    <w:next w:val="Style_1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Знак1"/>
    <w:basedOn w:val="Style_11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1"/>
    <w:basedOn w:val="Style_11_ch"/>
    <w:link w:val="Style_21"/>
    <w:rPr>
      <w:rFonts w:ascii="Tahoma" w:hAnsi="Tahoma"/>
      <w:sz w:val="20"/>
    </w:rPr>
  </w:style>
  <w:style w:styleId="Style_22" w:type="paragraph">
    <w:name w:val="Body Text 3"/>
    <w:basedOn w:val="Style_11"/>
    <w:link w:val="Style_22_ch"/>
    <w:pPr>
      <w:spacing w:after="120"/>
      <w:ind/>
    </w:pPr>
    <w:rPr>
      <w:sz w:val="16"/>
    </w:rPr>
  </w:style>
  <w:style w:styleId="Style_22_ch" w:type="character">
    <w:name w:val="Body Text 3"/>
    <w:basedOn w:val="Style_11_ch"/>
    <w:link w:val="Style_22"/>
    <w:rPr>
      <w:sz w:val="16"/>
    </w:rPr>
  </w:style>
  <w:style w:styleId="Style_23" w:type="paragraph">
    <w:name w:val="Balloon Text"/>
    <w:basedOn w:val="Style_11"/>
    <w:link w:val="Style_23_ch"/>
    <w:rPr>
      <w:rFonts w:ascii="Tahoma" w:hAnsi="Tahoma"/>
      <w:sz w:val="16"/>
    </w:rPr>
  </w:style>
  <w:style w:styleId="Style_23_ch" w:type="character">
    <w:name w:val="Balloon Text"/>
    <w:basedOn w:val="Style_11_ch"/>
    <w:link w:val="Style_23"/>
    <w:rPr>
      <w:rFonts w:ascii="Tahoma" w:hAnsi="Tahoma"/>
      <w:sz w:val="16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Гиперссылка3"/>
    <w:link w:val="Style_25_ch"/>
    <w:rPr>
      <w:color w:val="0000FF"/>
      <w:u w:val="single"/>
    </w:rPr>
  </w:style>
  <w:style w:styleId="Style_25_ch" w:type="character">
    <w:name w:val="Гиперссылка3"/>
    <w:link w:val="Style_25"/>
    <w:rPr>
      <w:color w:val="0000FF"/>
      <w:u w:val="single"/>
    </w:rPr>
  </w:style>
  <w:style w:styleId="Style_26" w:type="paragraph">
    <w:name w:val="Основной текст1"/>
    <w:basedOn w:val="Style_11"/>
    <w:link w:val="Style_26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26_ch" w:type="character">
    <w:name w:val="Основной текст1"/>
    <w:basedOn w:val="Style_11_ch"/>
    <w:link w:val="Style_26"/>
    <w:rPr>
      <w:spacing w:val="-1"/>
      <w:sz w:val="26"/>
      <w:highlight w:val="white"/>
    </w:rPr>
  </w:style>
  <w:style w:styleId="Style_9" w:type="paragraph">
    <w:name w:val="ConsPlusTitle"/>
    <w:link w:val="Style_9_ch"/>
    <w:pPr>
      <w:widowControl w:val="0"/>
      <w:ind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27" w:type="paragraph">
    <w:name w:val="Знак"/>
    <w:basedOn w:val="Style_11"/>
    <w:link w:val="Style_2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7_ch" w:type="character">
    <w:name w:val="Знак"/>
    <w:basedOn w:val="Style_11_ch"/>
    <w:link w:val="Style_27"/>
    <w:rPr>
      <w:rFonts w:ascii="Verdana" w:hAnsi="Verdana"/>
      <w:sz w:val="20"/>
    </w:rPr>
  </w:style>
  <w:style w:styleId="Style_28" w:type="paragraph">
    <w:name w:val="List Paragraph"/>
    <w:basedOn w:val="Style_11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11_ch"/>
    <w:link w:val="Style_28"/>
    <w:rPr>
      <w:rFonts w:ascii="Calibri" w:hAnsi="Calibri"/>
      <w:sz w:val="22"/>
    </w:rPr>
  </w:style>
  <w:style w:styleId="Style_29" w:type="paragraph">
    <w:name w:val="Знак Знак3 Знак Знак"/>
    <w:basedOn w:val="Style_11"/>
    <w:link w:val="Style_2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9_ch" w:type="character">
    <w:name w:val="Знак Знак3 Знак Знак"/>
    <w:basedOn w:val="Style_11_ch"/>
    <w:link w:val="Style_29"/>
    <w:rPr>
      <w:rFonts w:ascii="Verdana" w:hAnsi="Verdana"/>
      <w:sz w:val="20"/>
    </w:rPr>
  </w:style>
  <w:style w:styleId="Style_30" w:type="paragraph">
    <w:name w:val="header"/>
    <w:basedOn w:val="Style_11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11_ch"/>
    <w:link w:val="Style_30"/>
  </w:style>
  <w:style w:styleId="Style_31" w:type="paragraph">
    <w:name w:val="Body Text Indent 3"/>
    <w:basedOn w:val="Style_11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11_ch"/>
    <w:link w:val="Style_31"/>
    <w:rPr>
      <w:sz w:val="16"/>
    </w:rPr>
  </w:style>
  <w:style w:styleId="Style_32" w:type="paragraph">
    <w:name w:val="toc 3"/>
    <w:next w:val="Style_11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Номер страницы1"/>
    <w:basedOn w:val="Style_20"/>
    <w:link w:val="Style_33_ch"/>
  </w:style>
  <w:style w:styleId="Style_33_ch" w:type="character">
    <w:name w:val="Номер страницы1"/>
    <w:basedOn w:val="Style_20_ch"/>
    <w:link w:val="Style_33"/>
  </w:style>
  <w:style w:styleId="Style_34" w:type="paragraph">
    <w:name w:val="Основной текст1 Знак1"/>
    <w:link w:val="Style_34_ch"/>
    <w:rPr>
      <w:b w:val="1"/>
      <w:sz w:val="24"/>
    </w:rPr>
  </w:style>
  <w:style w:styleId="Style_34_ch" w:type="character">
    <w:name w:val="Основной текст1 Знак1"/>
    <w:link w:val="Style_34"/>
    <w:rPr>
      <w:b w:val="1"/>
      <w:sz w:val="24"/>
    </w:rPr>
  </w:style>
  <w:style w:styleId="Style_35" w:type="paragraph">
    <w:name w:val="Основной шрифт абзаца3"/>
    <w:link w:val="Style_35_ch"/>
  </w:style>
  <w:style w:styleId="Style_35_ch" w:type="character">
    <w:name w:val="Основной шрифт абзаца3"/>
    <w:link w:val="Style_35"/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36" w:type="paragraph">
    <w:name w:val="Знак Знак13"/>
    <w:link w:val="Style_36_ch"/>
    <w:rPr>
      <w:b w:val="1"/>
      <w:sz w:val="28"/>
    </w:rPr>
  </w:style>
  <w:style w:styleId="Style_36_ch" w:type="character">
    <w:name w:val="Знак Знак13"/>
    <w:link w:val="Style_36"/>
    <w:rPr>
      <w:b w:val="1"/>
      <w:sz w:val="28"/>
    </w:rPr>
  </w:style>
  <w:style w:styleId="Style_37" w:type="paragraph">
    <w:name w:val="pre"/>
    <w:link w:val="Style_37_ch"/>
  </w:style>
  <w:style w:styleId="Style_37_ch" w:type="character">
    <w:name w:val="pre"/>
    <w:link w:val="Style_37"/>
  </w:style>
  <w:style w:styleId="Style_38" w:type="paragraph">
    <w:name w:val="Body Text Indent 2"/>
    <w:basedOn w:val="Style_11"/>
    <w:link w:val="Style_38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38_ch" w:type="character">
    <w:name w:val="Body Text Indent 2"/>
    <w:basedOn w:val="Style_11_ch"/>
    <w:link w:val="Style_38"/>
    <w:rPr>
      <w:b w:val="1"/>
      <w:sz w:val="28"/>
    </w:rPr>
  </w:style>
  <w:style w:styleId="Style_39" w:type="paragraph">
    <w:name w:val="Body Text 2"/>
    <w:basedOn w:val="Style_11"/>
    <w:link w:val="Style_39_ch"/>
    <w:pPr>
      <w:spacing w:after="120" w:line="480" w:lineRule="auto"/>
      <w:ind/>
    </w:pPr>
  </w:style>
  <w:style w:styleId="Style_39_ch" w:type="character">
    <w:name w:val="Body Text 2"/>
    <w:basedOn w:val="Style_11_ch"/>
    <w:link w:val="Style_39"/>
  </w:style>
  <w:style w:styleId="Style_40" w:type="paragraph">
    <w:name w:val="heading 5"/>
    <w:next w:val="Style_11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3" w:type="paragraph">
    <w:name w:val="Body Text"/>
    <w:basedOn w:val="Style_11"/>
    <w:link w:val="Style_3_ch"/>
    <w:pPr>
      <w:spacing w:after="120"/>
      <w:ind/>
    </w:pPr>
  </w:style>
  <w:style w:styleId="Style_3_ch" w:type="character">
    <w:name w:val="Body Text"/>
    <w:basedOn w:val="Style_11_ch"/>
    <w:link w:val="Style_3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8" w:type="paragraph">
    <w:name w:val="heading 1"/>
    <w:basedOn w:val="Style_11"/>
    <w:next w:val="Style_11"/>
    <w:link w:val="Style_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8_ch" w:type="character">
    <w:name w:val="heading 1"/>
    <w:basedOn w:val="Style_11_ch"/>
    <w:link w:val="Style_8"/>
    <w:rPr>
      <w:rFonts w:ascii="Arial" w:hAnsi="Arial"/>
      <w:b w:val="1"/>
      <w:sz w:val="32"/>
    </w:rPr>
  </w:style>
  <w:style w:styleId="Style_42" w:type="paragraph">
    <w:name w:val="ConsNormal"/>
    <w:link w:val="Style_42_ch"/>
    <w:pPr>
      <w:widowControl w:val="0"/>
      <w:ind w:firstLine="720" w:left="0" w:right="19772"/>
    </w:pPr>
    <w:rPr>
      <w:rFonts w:ascii="Arial" w:hAnsi="Arial"/>
    </w:rPr>
  </w:style>
  <w:style w:styleId="Style_42_ch" w:type="character">
    <w:name w:val="ConsNormal"/>
    <w:link w:val="Style_42"/>
    <w:rPr>
      <w:rFonts w:ascii="Arial" w:hAnsi="Arial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heading 8"/>
    <w:basedOn w:val="Style_11"/>
    <w:next w:val="Style_11"/>
    <w:link w:val="Style_44_ch"/>
    <w:uiPriority w:val="9"/>
    <w:qFormat/>
    <w:pPr>
      <w:spacing w:after="60" w:before="240"/>
      <w:ind/>
      <w:outlineLvl w:val="7"/>
    </w:pPr>
    <w:rPr>
      <w:i w:val="1"/>
    </w:rPr>
  </w:style>
  <w:style w:styleId="Style_44_ch" w:type="character">
    <w:name w:val="heading 8"/>
    <w:basedOn w:val="Style_11_ch"/>
    <w:link w:val="Style_44"/>
    <w:rPr>
      <w:i w:val="1"/>
    </w:rPr>
  </w:style>
  <w:style w:styleId="Style_45" w:type="paragraph">
    <w:name w:val="toc 1"/>
    <w:next w:val="Style_11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Знак1"/>
    <w:basedOn w:val="Style_11"/>
    <w:link w:val="Style_46_ch"/>
    <w:pPr>
      <w:spacing w:after="160" w:line="240" w:lineRule="exact"/>
      <w:ind/>
    </w:pPr>
    <w:rPr>
      <w:rFonts w:ascii="Verdana" w:hAnsi="Verdana"/>
      <w:sz w:val="20"/>
    </w:rPr>
  </w:style>
  <w:style w:styleId="Style_46_ch" w:type="character">
    <w:name w:val="Знак1"/>
    <w:basedOn w:val="Style_11_ch"/>
    <w:link w:val="Style_46"/>
    <w:rPr>
      <w:rFonts w:ascii="Verdana" w:hAnsi="Verdana"/>
      <w:sz w:val="20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toc 9"/>
    <w:next w:val="Style_11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" w:type="paragraph">
    <w:name w:val="Основной текст с отступом 22"/>
    <w:basedOn w:val="Style_11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1_ch"/>
    <w:link w:val="Style_4"/>
  </w:style>
  <w:style w:styleId="Style_49" w:type="paragraph">
    <w:name w:val="subheader"/>
    <w:basedOn w:val="Style_11"/>
    <w:link w:val="Style_49_ch"/>
    <w:pPr>
      <w:spacing w:after="75" w:before="150"/>
      <w:ind/>
    </w:pPr>
    <w:rPr>
      <w:rFonts w:ascii="Arial" w:hAnsi="Arial"/>
      <w:b w:val="1"/>
      <w:sz w:val="18"/>
    </w:rPr>
  </w:style>
  <w:style w:styleId="Style_49_ch" w:type="character">
    <w:name w:val="subheader"/>
    <w:basedOn w:val="Style_11_ch"/>
    <w:link w:val="Style_49"/>
    <w:rPr>
      <w:rFonts w:ascii="Arial" w:hAnsi="Arial"/>
      <w:b w:val="1"/>
      <w:sz w:val="18"/>
    </w:rPr>
  </w:style>
  <w:style w:styleId="Style_50" w:type="paragraph">
    <w:name w:val="Гиперссылка2"/>
    <w:link w:val="Style_50_ch"/>
    <w:rPr>
      <w:color w:val="0000FF"/>
      <w:u w:val="single"/>
    </w:rPr>
  </w:style>
  <w:style w:styleId="Style_50_ch" w:type="character">
    <w:name w:val="Гиперссылка2"/>
    <w:link w:val="Style_50"/>
    <w:rPr>
      <w:color w:val="0000FF"/>
      <w:u w:val="single"/>
    </w:rPr>
  </w:style>
  <w:style w:styleId="Style_51" w:type="paragraph">
    <w:name w:val="toc 8"/>
    <w:next w:val="Style_11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Без интервала1"/>
    <w:link w:val="Style_52_ch"/>
    <w:rPr>
      <w:rFonts w:ascii="Calibri" w:hAnsi="Calibri"/>
      <w:sz w:val="22"/>
    </w:rPr>
  </w:style>
  <w:style w:styleId="Style_52_ch" w:type="character">
    <w:name w:val="Без интервала1"/>
    <w:link w:val="Style_52"/>
    <w:rPr>
      <w:rFonts w:ascii="Calibri" w:hAnsi="Calibri"/>
      <w:sz w:val="22"/>
    </w:rPr>
  </w:style>
  <w:style w:styleId="Style_53" w:type="paragraph">
    <w:name w:val="Знак Знак10 Знак Знак Знак Знак Знак Знак Знак Знак"/>
    <w:basedOn w:val="Style_11"/>
    <w:link w:val="Style_53_ch"/>
    <w:pPr>
      <w:spacing w:after="160" w:line="240" w:lineRule="exact"/>
      <w:ind/>
    </w:pPr>
    <w:rPr>
      <w:rFonts w:ascii="Verdana" w:hAnsi="Verdana"/>
      <w:sz w:val="20"/>
    </w:rPr>
  </w:style>
  <w:style w:styleId="Style_53_ch" w:type="character">
    <w:name w:val="Знак Знак10 Знак Знак Знак Знак Знак Знак Знак Знак"/>
    <w:basedOn w:val="Style_11_ch"/>
    <w:link w:val="Style_53"/>
    <w:rPr>
      <w:rFonts w:ascii="Verdana" w:hAnsi="Verdana"/>
      <w:sz w:val="20"/>
    </w:rPr>
  </w:style>
  <w:style w:styleId="Style_54" w:type="paragraph">
    <w:name w:val="Номер строки1"/>
    <w:link w:val="Style_54_ch"/>
  </w:style>
  <w:style w:styleId="Style_54_ch" w:type="character">
    <w:name w:val="Номер строки1"/>
    <w:link w:val="Style_54"/>
  </w:style>
  <w:style w:styleId="Style_55" w:type="paragraph">
    <w:name w:val="toc 5"/>
    <w:next w:val="Style_11"/>
    <w:link w:val="Style_55_ch"/>
    <w:uiPriority w:val="39"/>
    <w:pPr>
      <w:ind w:firstLine="0" w:left="800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ConsPlusNormal"/>
    <w:link w:val="Style_56_ch"/>
    <w:pPr>
      <w:ind w:firstLine="720" w:left="0"/>
    </w:pPr>
    <w:rPr>
      <w:rFonts w:ascii="Arial" w:hAnsi="Arial"/>
    </w:rPr>
  </w:style>
  <w:style w:styleId="Style_56_ch" w:type="character">
    <w:name w:val="ConsPlusNormal"/>
    <w:link w:val="Style_56"/>
    <w:rPr>
      <w:rFonts w:ascii="Arial" w:hAnsi="Arial"/>
    </w:rPr>
  </w:style>
  <w:style w:styleId="Style_57" w:type="paragraph">
    <w:name w:val="Обычный1"/>
    <w:link w:val="Style_57_ch"/>
    <w:rPr>
      <w:sz w:val="24"/>
    </w:rPr>
  </w:style>
  <w:style w:styleId="Style_57_ch" w:type="character">
    <w:name w:val="Обычный1"/>
    <w:link w:val="Style_57"/>
    <w:rPr>
      <w:sz w:val="24"/>
    </w:rPr>
  </w:style>
  <w:style w:styleId="Style_58" w:type="paragraph">
    <w:name w:val="Subtitle"/>
    <w:next w:val="Style_11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Body Text Indent"/>
    <w:basedOn w:val="Style_11"/>
    <w:link w:val="Style_59_ch"/>
    <w:pPr>
      <w:spacing w:after="120"/>
      <w:ind w:firstLine="0" w:left="283"/>
    </w:pPr>
  </w:style>
  <w:style w:styleId="Style_59_ch" w:type="character">
    <w:name w:val="Body Text Indent"/>
    <w:basedOn w:val="Style_11_ch"/>
    <w:link w:val="Style_59"/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60" w:type="paragraph">
    <w:name w:val="Знак Знак3 Знак Знак Знак Знак"/>
    <w:basedOn w:val="Style_11"/>
    <w:link w:val="Style_6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0_ch" w:type="character">
    <w:name w:val="Знак Знак3 Знак Знак Знак Знак"/>
    <w:basedOn w:val="Style_11_ch"/>
    <w:link w:val="Style_60"/>
    <w:rPr>
      <w:rFonts w:ascii="Verdana" w:hAnsi="Verdana"/>
      <w:sz w:val="20"/>
    </w:rPr>
  </w:style>
  <w:style w:styleId="Style_61" w:type="paragraph">
    <w:name w:val="Title"/>
    <w:next w:val="Style_11"/>
    <w:link w:val="Style_6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1_ch" w:type="character">
    <w:name w:val="Title"/>
    <w:link w:val="Style_61"/>
    <w:rPr>
      <w:rFonts w:ascii="XO Thames" w:hAnsi="XO Thames"/>
      <w:b w:val="1"/>
      <w:caps w:val="1"/>
      <w:sz w:val="40"/>
    </w:rPr>
  </w:style>
  <w:style w:styleId="Style_62" w:type="paragraph">
    <w:name w:val="heading 4"/>
    <w:basedOn w:val="Style_11"/>
    <w:next w:val="Style_11"/>
    <w:link w:val="Style_6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2_ch" w:type="character">
    <w:name w:val="heading 4"/>
    <w:basedOn w:val="Style_11_ch"/>
    <w:link w:val="Style_62"/>
    <w:rPr>
      <w:b w:val="1"/>
      <w:sz w:val="28"/>
    </w:rPr>
  </w:style>
  <w:style w:styleId="Style_63" w:type="paragraph">
    <w:name w:val="heading 2"/>
    <w:basedOn w:val="Style_11"/>
    <w:next w:val="Style_11"/>
    <w:link w:val="Style_63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63_ch" w:type="character">
    <w:name w:val="heading 2"/>
    <w:basedOn w:val="Style_11_ch"/>
    <w:link w:val="Style_63"/>
    <w:rPr>
      <w:rFonts w:ascii="Arial" w:hAnsi="Arial"/>
      <w:b w:val="1"/>
      <w:sz w:val="22"/>
    </w:rPr>
  </w:style>
  <w:style w:styleId="Style_64" w:type="paragraph">
    <w:name w:val="ConsPlusNonformat"/>
    <w:link w:val="Style_64_ch"/>
    <w:pPr>
      <w:widowControl w:val="0"/>
      <w:ind/>
    </w:pPr>
    <w:rPr>
      <w:rFonts w:ascii="Courier New" w:hAnsi="Courier New"/>
    </w:rPr>
  </w:style>
  <w:style w:styleId="Style_64_ch" w:type="character">
    <w:name w:val="ConsPlusNonformat"/>
    <w:link w:val="Style_64"/>
    <w:rPr>
      <w:rFonts w:ascii="Courier New" w:hAnsi="Courier New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2023-03-15T13:17:34Z</dcterms:modified>
</cp:coreProperties>
</file>