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ind w:firstLine="0" w:left="0" w:right="-2"/>
        <w:jc w:val="center"/>
        <w:rPr>
          <w:sz w:val="28"/>
        </w:rPr>
      </w:pPr>
      <w:r>
        <w:rPr>
          <w:sz w:val="28"/>
        </w:rPr>
        <w:t>х. Кринично-Лугский</w:t>
      </w:r>
    </w:p>
    <w:p w14:paraId="10000000">
      <w:pPr>
        <w:tabs>
          <w:tab w:leader="none" w:pos="7288" w:val="left"/>
        </w:tabs>
        <w:ind w:firstLine="0" w:left="0" w:right="-2"/>
        <w:jc w:val="left"/>
        <w:rPr>
          <w:sz w:val="28"/>
        </w:rPr>
      </w:pPr>
      <w:r>
        <w:rPr>
          <w:sz w:val="28"/>
        </w:rPr>
        <w:t xml:space="preserve">00.02.2024 </w:t>
      </w:r>
      <w:r>
        <w:rPr>
          <w:sz w:val="28"/>
        </w:rPr>
        <w:tab/>
      </w:r>
      <w:r>
        <w:rPr>
          <w:sz w:val="28"/>
        </w:rPr>
        <w:t xml:space="preserve">                № Проект   </w:t>
      </w:r>
    </w:p>
    <w:p w14:paraId="11000000">
      <w:pPr>
        <w:ind w:firstLine="0" w:left="0" w:right="-2"/>
        <w:jc w:val="center"/>
        <w:rPr>
          <w:sz w:val="28"/>
        </w:rPr>
      </w:pPr>
    </w:p>
    <w:p w14:paraId="12000000">
      <w:pPr>
        <w:ind w:firstLine="0" w:left="0" w:right="-2"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 «Кринично-Лугское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>В соответствии с Бюджетным кодексом Российской Федерации, Областным зак</w:t>
      </w:r>
      <w:r>
        <w:rPr>
          <w:sz w:val="28"/>
        </w:rPr>
        <w:t>оном от 24.10.2023 № 3-ЗС «О внесении изменений в областной закон «О бюджетном процессе в Ростовской области» и в целях приведения муниципального правового акта в соответствие с требованиями действующего законодательства Собрание депутатов Кринично-Лугског</w:t>
      </w:r>
      <w:r>
        <w:rPr>
          <w:sz w:val="28"/>
        </w:rPr>
        <w:t>о сельского поселения 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ind w:firstLine="851" w:left="0"/>
        <w:rPr>
          <w:sz w:val="28"/>
        </w:rPr>
      </w:pPr>
      <w:r>
        <w:rPr>
          <w:sz w:val="28"/>
        </w:rPr>
        <w:t>Внести в Приложение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ind w:firstLine="851" w:left="0"/>
        <w:rPr>
          <w:sz w:val="28"/>
        </w:rPr>
      </w:pPr>
      <w:r>
        <w:rPr>
          <w:sz w:val="28"/>
        </w:rPr>
        <w:t>1.1. В статье 47.1 дополнить пунктом 3.1) следующего содержания:</w:t>
      </w:r>
    </w:p>
    <w:p w14:paraId="19000000">
      <w:pPr>
        <w:spacing w:after="0" w:before="0"/>
        <w:ind w:firstLine="540" w:left="0" w:right="0"/>
        <w:jc w:val="both"/>
        <w:rPr>
          <w:b w:val="0"/>
        </w:rPr>
      </w:pPr>
    </w:p>
    <w:p w14:paraId="1A000000">
      <w:pPr>
        <w:spacing w:after="0" w:before="0"/>
        <w:ind w:firstLine="850" w:left="0" w:right="0"/>
        <w:jc w:val="both"/>
        <w:rPr>
          <w:b w:val="0"/>
          <w:sz w:val="28"/>
        </w:rPr>
      </w:pPr>
      <w:r>
        <w:rPr>
          <w:b w:val="0"/>
          <w:sz w:val="28"/>
        </w:rPr>
        <w:t>«3.1)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кредитов;»</w:t>
      </w:r>
    </w:p>
    <w:p w14:paraId="1B000000">
      <w:pPr>
        <w:spacing w:after="0" w:before="0"/>
        <w:ind w:firstLine="850" w:left="0" w:right="0"/>
        <w:jc w:val="both"/>
        <w:rPr>
          <w:b w:val="0"/>
        </w:rPr>
      </w:pPr>
    </w:p>
    <w:p w14:paraId="1C000000">
      <w:pPr>
        <w:spacing w:after="0" w:before="0"/>
        <w:ind w:firstLine="850" w:left="0" w:right="0"/>
        <w:jc w:val="both"/>
        <w:rPr>
          <w:b w:val="0"/>
        </w:rPr>
      </w:pPr>
      <w:r>
        <w:rPr>
          <w:sz w:val="28"/>
        </w:rPr>
        <w:t>1.2. В статье 51 п</w:t>
      </w:r>
      <w:r>
        <w:rPr>
          <w:sz w:val="28"/>
        </w:rPr>
        <w:t>ункт 3  изложить в следующей редакции:</w:t>
      </w:r>
    </w:p>
    <w:p w14:paraId="1D000000">
      <w:pPr>
        <w:pStyle w:val="Style_4"/>
        <w:ind w:firstLine="850" w:left="0"/>
        <w:rPr>
          <w:sz w:val="28"/>
        </w:rPr>
      </w:pPr>
      <w:r>
        <w:rPr>
          <w:sz w:val="28"/>
        </w:rPr>
        <w:t xml:space="preserve">«3. </w:t>
      </w:r>
      <w:r>
        <w:rPr>
          <w:sz w:val="28"/>
        </w:rPr>
        <w:t>Приостанови</w:t>
      </w:r>
      <w:r>
        <w:rPr>
          <w:sz w:val="28"/>
        </w:rPr>
        <w:t xml:space="preserve">ть до 1 января </w:t>
      </w:r>
      <w:r>
        <w:rPr>
          <w:sz w:val="28"/>
        </w:rPr>
        <w:t>2025 г</w:t>
      </w:r>
      <w:r>
        <w:rPr>
          <w:sz w:val="28"/>
        </w:rPr>
        <w:t>о</w:t>
      </w:r>
      <w:r>
        <w:rPr>
          <w:sz w:val="28"/>
        </w:rPr>
        <w:t>да действие пункта 3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"https://login.consultant.ru/link/?req=doc&amp;base=RLAW186&amp;n=131820&amp;dst=100764&amp;field=134&amp;date=25.10.2023"</w:instrText>
      </w:r>
      <w:r>
        <w:rPr>
          <w:sz w:val="28"/>
        </w:rPr>
        <w:fldChar w:fldCharType="separate"/>
      </w:r>
      <w:r>
        <w:rPr>
          <w:sz w:val="28"/>
        </w:rPr>
        <w:t xml:space="preserve"> статьи 26</w:t>
      </w:r>
      <w:r>
        <w:rPr>
          <w:sz w:val="28"/>
        </w:rPr>
        <w:fldChar w:fldCharType="end"/>
      </w:r>
      <w:r>
        <w:rPr>
          <w:sz w:val="28"/>
        </w:rPr>
        <w:t xml:space="preserve"> (в части программы муниципальных гарантий Кринично-Лугского сельского поселения на очередной финансовый год и плановый период и программы муниципальных заимствований Кринично-Лугского сельского поселения на очередной финансовый год и плановый период) наст</w:t>
      </w:r>
      <w:r>
        <w:rPr>
          <w:sz w:val="28"/>
        </w:rPr>
        <w:t>оящего решения Собрания депутатов.</w:t>
      </w:r>
      <w:r>
        <w:rPr>
          <w:sz w:val="28"/>
        </w:rPr>
        <w:t>»</w:t>
      </w:r>
    </w:p>
    <w:p w14:paraId="1E000000">
      <w:pPr>
        <w:rPr>
          <w:sz w:val="28"/>
        </w:rPr>
      </w:pPr>
    </w:p>
    <w:p w14:paraId="1F000000">
      <w:pPr>
        <w:pStyle w:val="Style_5"/>
        <w:numPr>
          <w:ilvl w:val="0"/>
          <w:numId w:val="1"/>
        </w:num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и распрастраняется на правоотношения возникшие с 01.01.2024 года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6"/>
        <w:numPr>
          <w:ilvl w:val="0"/>
          <w:numId w:val="1"/>
        </w:numPr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21000000">
      <w:pPr>
        <w:pStyle w:val="Style_4"/>
        <w:ind w:firstLine="851" w:left="0"/>
        <w:rPr>
          <w:sz w:val="28"/>
        </w:rPr>
      </w:pPr>
    </w:p>
    <w:p w14:paraId="22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23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24000000">
      <w:pPr>
        <w:tabs>
          <w:tab w:leader="none" w:pos="7797" w:val="left"/>
        </w:tabs>
        <w:ind w:firstLine="0" w:left="0"/>
        <w:rPr>
          <w:sz w:val="28"/>
        </w:rPr>
      </w:pPr>
      <w:r>
        <w:rPr>
          <w:sz w:val="28"/>
        </w:rPr>
        <w:t xml:space="preserve"> 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  <w:rPr>
      <w:sz w:val="26"/>
    </w:rPr>
  </w:style>
  <w:style w:styleId="Style_13_ch" w:type="character">
    <w:name w:val="Обычный1"/>
    <w:link w:val="Style_13"/>
    <w:rPr>
      <w:sz w:val="26"/>
    </w:rPr>
  </w:style>
  <w:style w:styleId="Style_14" w:type="paragraph">
    <w:name w:val="ConsPlusTextList1"/>
    <w:link w:val="Style_14_ch"/>
    <w:pPr>
      <w:widowControl w:val="0"/>
      <w:ind/>
    </w:pPr>
    <w:rPr>
      <w:sz w:val="24"/>
    </w:rPr>
  </w:style>
  <w:style w:styleId="Style_14_ch" w:type="character">
    <w:name w:val="ConsPlusTextList1"/>
    <w:link w:val="Style_14"/>
    <w:rPr>
      <w:sz w:val="24"/>
    </w:rPr>
  </w:style>
  <w:style w:styleId="Style_15" w:type="paragraph">
    <w:name w:val="toc 3"/>
    <w:next w:val="Style_7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ot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7_ch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7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WW8Num1z7"/>
    <w:link w:val="Style_24_ch"/>
  </w:style>
  <w:style w:styleId="Style_24_ch" w:type="character">
    <w:name w:val="WW8Num1z7"/>
    <w:link w:val="Style_24"/>
  </w:style>
  <w:style w:styleId="Style_25" w:type="paragraph">
    <w:name w:val="toc 9"/>
    <w:next w:val="Style_7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sz w:val="24"/>
    </w:rPr>
  </w:style>
  <w:style w:styleId="Style_6_ch" w:type="character">
    <w:name w:val="Основной текст с отступом 22"/>
    <w:basedOn w:val="Style_7_ch"/>
    <w:link w:val="Style_6"/>
    <w:rPr>
      <w:sz w:val="24"/>
    </w:rPr>
  </w:style>
  <w:style w:styleId="Style_29" w:type="paragraph">
    <w:name w:val="Balloon Text"/>
    <w:basedOn w:val="Style_7"/>
    <w:link w:val="Style_29_ch"/>
    <w:rPr>
      <w:rFonts w:ascii="Tahoma" w:hAnsi="Tahoma"/>
      <w:sz w:val="16"/>
    </w:rPr>
  </w:style>
  <w:style w:styleId="Style_29_ch" w:type="character">
    <w:name w:val="Balloon Text"/>
    <w:basedOn w:val="Style_7_ch"/>
    <w:link w:val="Style_29"/>
    <w:rPr>
      <w:rFonts w:ascii="Tahoma" w:hAnsi="Tahoma"/>
      <w:sz w:val="16"/>
    </w:rPr>
  </w:style>
  <w:style w:styleId="Style_30" w:type="paragraph">
    <w:name w:val="Subtitle"/>
    <w:basedOn w:val="Style_7"/>
    <w:next w:val="Style_7"/>
    <w:link w:val="Style_30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0_ch" w:type="character">
    <w:name w:val="Subtitle"/>
    <w:basedOn w:val="Style_7_ch"/>
    <w:link w:val="Style_30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7"/>
    <w:next w:val="Style_30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Знак Знак Знак1 Знак"/>
    <w:basedOn w:val="Style_7"/>
    <w:link w:val="Style_32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32_ch" w:type="character">
    <w:name w:val="Знак Знак Знак1 Знак"/>
    <w:basedOn w:val="Style_7_ch"/>
    <w:link w:val="Style_32"/>
    <w:rPr>
      <w:rFonts w:ascii="Tahoma" w:hAnsi="Tahoma"/>
      <w:sz w:val="20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Гиперссылка1"/>
    <w:basedOn w:val="Style_22"/>
    <w:link w:val="Style_34_ch"/>
    <w:rPr>
      <w:color w:val="0000FF"/>
      <w:u w:val="single"/>
    </w:rPr>
  </w:style>
  <w:style w:styleId="Style_34_ch" w:type="character">
    <w:name w:val="Гиперссылка1"/>
    <w:basedOn w:val="Style_22_ch"/>
    <w:link w:val="Style_34"/>
    <w:rPr>
      <w:color w:val="0000FF"/>
      <w:u w:val="single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2024-02-20T06:26:09Z</dcterms:modified>
</cp:coreProperties>
</file>