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 26.10</w:t>
      </w:r>
      <w:r>
        <w:rPr>
          <w:sz w:val="28"/>
        </w:rPr>
        <w:t>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                               х. Кринично-Лугский                                  № 71</w:t>
      </w:r>
      <w:r>
        <w:rPr>
          <w:sz w:val="28"/>
        </w:rPr>
        <w:t xml:space="preserve">   </w:t>
      </w:r>
    </w:p>
    <w:p w14:paraId="0E000000">
      <w:pPr>
        <w:rPr>
          <w:sz w:val="28"/>
        </w:rPr>
      </w:pPr>
      <w:r>
        <w:rPr>
          <w:sz w:val="28"/>
        </w:rPr>
        <w:t xml:space="preserve">      </w:t>
      </w:r>
    </w:p>
    <w:p w14:paraId="0F000000">
      <w:pPr>
        <w:pStyle w:val="Style_3"/>
        <w:ind w:firstLine="0" w:left="0"/>
        <w:jc w:val="center"/>
      </w:pPr>
      <w:r>
        <w:t>О внесении изменений в распоряжение Администрации от 27.12.2022 № 90 «Об утверждении плана реализации муниципальной программы Кринично-Лугского сельского поселения  «Муниципальная п</w:t>
      </w:r>
      <w:r>
        <w:t>о</w:t>
      </w:r>
      <w:r>
        <w:t>литика» на 20</w:t>
      </w:r>
      <w:r>
        <w:t>2</w:t>
      </w:r>
      <w:r>
        <w:t>3</w:t>
      </w:r>
      <w:r>
        <w:t xml:space="preserve"> год»</w:t>
      </w:r>
    </w:p>
    <w:p w14:paraId="10000000">
      <w:pPr>
        <w:pStyle w:val="Style_3"/>
      </w:pPr>
    </w:p>
    <w:p w14:paraId="11000000">
      <w:pPr>
        <w:pStyle w:val="Style_4"/>
        <w:ind w:firstLine="851" w:left="0"/>
        <w:jc w:val="both"/>
        <w:rPr>
          <w:sz w:val="28"/>
        </w:rPr>
      </w:pPr>
      <w:r>
        <w:rPr>
          <w:sz w:val="28"/>
        </w:rPr>
        <w:t>В  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26.10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>№122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Администрации от 23.11.2018 № 130 «</w:t>
      </w:r>
      <w:r>
        <w:rPr>
          <w:sz w:val="28"/>
        </w:rPr>
        <w:t>Об утверждении муниципальной программы</w:t>
      </w:r>
      <w:r>
        <w:rPr>
          <w:sz w:val="28"/>
        </w:rPr>
        <w:t xml:space="preserve"> Кринично-Лугского сельского поселения </w:t>
      </w:r>
      <w:r>
        <w:rPr>
          <w:sz w:val="28"/>
        </w:rPr>
        <w:t>«</w:t>
      </w:r>
      <w:r>
        <w:rPr>
          <w:sz w:val="28"/>
        </w:rPr>
        <w:t>Муниципальная политика</w:t>
      </w:r>
      <w:r>
        <w:rPr>
          <w:sz w:val="28"/>
        </w:rPr>
        <w:t>»</w:t>
      </w:r>
    </w:p>
    <w:p w14:paraId="12000000">
      <w:pPr>
        <w:rPr>
          <w:sz w:val="28"/>
        </w:rPr>
      </w:pPr>
      <w:r>
        <w:rPr>
          <w:sz w:val="28"/>
        </w:rPr>
        <w:t xml:space="preserve">       </w:t>
      </w:r>
    </w:p>
    <w:p w14:paraId="13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 xml:space="preserve"> </w:t>
      </w:r>
      <w:r>
        <w:rPr>
          <w:rStyle w:val="Style_6_ch"/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Внести изменения в распоряжение Администрации от 27.12.2022 № 90 «Об у</w:t>
      </w:r>
      <w:r>
        <w:rPr>
          <w:sz w:val="28"/>
        </w:rPr>
        <w:t xml:space="preserve">тверждении </w:t>
      </w:r>
      <w:r>
        <w:rPr>
          <w:sz w:val="28"/>
        </w:rPr>
        <w:t>плана реализации муниципальной программы Кринично-Лугского сельского поселения «Муниципальная политика» на 20</w:t>
      </w:r>
      <w:r>
        <w:rPr>
          <w:sz w:val="28"/>
        </w:rPr>
        <w:t>23</w:t>
      </w:r>
      <w:r>
        <w:rPr>
          <w:sz w:val="28"/>
        </w:rPr>
        <w:t xml:space="preserve"> год» </w:t>
      </w:r>
      <w:r>
        <w:rPr>
          <w:sz w:val="28"/>
        </w:rPr>
        <w:t>следующие изменения:</w:t>
      </w:r>
    </w:p>
    <w:p w14:paraId="14000000">
      <w:pPr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 xml:space="preserve">1.1. Приложение к распоряжению изложить в редакции </w:t>
      </w:r>
      <w:r>
        <w:rPr>
          <w:sz w:val="28"/>
        </w:rPr>
        <w:t>согласно прилож</w:t>
      </w:r>
      <w:r>
        <w:rPr>
          <w:sz w:val="28"/>
        </w:rPr>
        <w:t>е</w:t>
      </w:r>
      <w:r>
        <w:rPr>
          <w:sz w:val="28"/>
        </w:rPr>
        <w:t>нию к настоящему распоряжению.</w:t>
      </w:r>
    </w:p>
    <w:p w14:paraId="15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rStyle w:val="Style_6_ch"/>
          <w:sz w:val="28"/>
        </w:rPr>
        <w:t>2.</w:t>
      </w:r>
      <w:r>
        <w:rPr>
          <w:sz w:val="28"/>
        </w:rPr>
        <w:t xml:space="preserve"> Ответственным специалистам обеспечить исполнение плана реал</w:t>
      </w:r>
      <w:r>
        <w:rPr>
          <w:sz w:val="28"/>
        </w:rPr>
        <w:t>и</w:t>
      </w:r>
      <w:r>
        <w:rPr>
          <w:sz w:val="28"/>
        </w:rPr>
        <w:t>зации.</w:t>
      </w:r>
    </w:p>
    <w:p w14:paraId="16000000">
      <w:pPr>
        <w:pStyle w:val="Style_5"/>
        <w:widowControl w:val="1"/>
        <w:spacing w:before="76" w:line="240" w:lineRule="auto"/>
        <w:ind w:firstLine="0" w:left="0"/>
        <w:jc w:val="both"/>
        <w:rPr>
          <w:sz w:val="28"/>
        </w:rPr>
      </w:pPr>
      <w:r>
        <w:rPr>
          <w:sz w:val="28"/>
        </w:rPr>
        <w:t>3. Распоряжение вступает в силу с момента опубликования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 Настоящее распоряжение разместить на официальном сайте Кринично-Лугского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</w:t>
      </w:r>
      <w:r>
        <w:rPr>
          <w:sz w:val="28"/>
        </w:rPr>
        <w:t>е</w:t>
      </w:r>
      <w:r>
        <w:rPr>
          <w:sz w:val="28"/>
        </w:rPr>
        <w:t>ления.</w:t>
      </w:r>
    </w:p>
    <w:p w14:paraId="18000000">
      <w:pPr>
        <w:ind/>
        <w:jc w:val="both"/>
        <w:rPr>
          <w:sz w:val="28"/>
        </w:rPr>
      </w:pPr>
      <w:r>
        <w:rPr>
          <w:spacing w:val="20"/>
          <w:sz w:val="28"/>
        </w:rPr>
        <w:t>5</w:t>
      </w:r>
      <w:r>
        <w:rPr>
          <w:spacing w:val="20"/>
          <w:sz w:val="28"/>
        </w:rPr>
        <w:t>.</w:t>
      </w:r>
      <w:r>
        <w:rPr>
          <w:sz w:val="28"/>
        </w:rPr>
        <w:t>Контроль за выполнением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распоряжением оставляю за собой.</w:t>
      </w:r>
    </w:p>
    <w:p w14:paraId="19000000">
      <w:pPr>
        <w:pStyle w:val="Style_5"/>
        <w:widowControl w:val="1"/>
        <w:spacing w:before="76"/>
        <w:ind w:firstLine="0" w:left="0"/>
        <w:jc w:val="both"/>
      </w:pPr>
    </w:p>
    <w:p w14:paraId="1A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B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Р.А. Юнда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4"/>
        </w:rPr>
      </w:pPr>
      <w:r>
        <w:rPr>
          <w:sz w:val="24"/>
        </w:rPr>
        <w:t>Распоряжение вносит</w:t>
      </w:r>
      <w:r>
        <w:rPr>
          <w:sz w:val="24"/>
        </w:rPr>
        <w:t>:</w:t>
      </w:r>
    </w:p>
    <w:p w14:paraId="1F000000">
      <w:pPr>
        <w:rPr>
          <w:sz w:val="24"/>
        </w:rPr>
      </w:pPr>
      <w:r>
        <w:rPr>
          <w:sz w:val="24"/>
        </w:rPr>
        <w:t>сектор экономики и финансов</w:t>
      </w:r>
    </w:p>
    <w:p w14:paraId="20000000">
      <w:pPr>
        <w:sectPr>
          <w:footerReference r:id="rId2" w:type="default"/>
          <w:pgSz w:h="16838" w:orient="portrait" w:w="11906"/>
          <w:pgMar w:bottom="907" w:footer="720" w:gutter="0" w:header="720" w:left="1701" w:right="851" w:top="1134"/>
          <w:titlePg/>
        </w:sectPr>
      </w:pP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>от 26.10.2023</w:t>
      </w:r>
      <w:r>
        <w:rPr>
          <w:sz w:val="24"/>
        </w:rPr>
        <w:t xml:space="preserve"> № 71</w:t>
      </w:r>
    </w:p>
    <w:p w14:paraId="24000000">
      <w:pPr>
        <w:ind w:firstLine="709" w:left="0"/>
        <w:jc w:val="right"/>
      </w:pPr>
    </w:p>
    <w:p w14:paraId="25000000">
      <w:pPr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ind w:firstLine="709" w:left="0"/>
        <w:jc w:val="center"/>
        <w:rPr>
          <w:sz w:val="28"/>
        </w:rPr>
      </w:pPr>
      <w:r>
        <w:rPr>
          <w:sz w:val="24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</w:t>
      </w:r>
    </w:p>
    <w:p w14:paraId="27000000">
      <w:pPr>
        <w:ind/>
        <w:jc w:val="center"/>
        <w:rPr>
          <w:sz w:val="24"/>
        </w:rPr>
      </w:pPr>
      <w:r>
        <w:rPr>
          <w:sz w:val="28"/>
        </w:rPr>
        <w:t>«</w:t>
      </w:r>
      <w:r>
        <w:rPr>
          <w:sz w:val="28"/>
        </w:rPr>
        <w:t>Муниципальная политика»</w:t>
      </w:r>
      <w:r>
        <w:rPr>
          <w:sz w:val="28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8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&lt;4&gt;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2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2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 w:firstLine="0" w:lef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</w:p>
        </w:tc>
        <w:tc>
          <w:tcPr>
            <w:tcW w:type="dxa" w:w="467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расходов, (тыс. рублей)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"Par1127"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&lt;2&gt;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внебюд-жетные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</w:tr>
    </w:tbl>
    <w:p w14:paraId="34000000">
      <w:pPr>
        <w:ind/>
        <w:jc w:val="center"/>
        <w:rPr>
          <w:sz w:val="24"/>
        </w:rPr>
      </w:pPr>
    </w:p>
    <w:tbl>
      <w:tblPr>
        <w:tblStyle w:val="Style_7"/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>
        <w:trPr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Развитие муниципальной службы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4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trike w:val="1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1.3.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</w:rPr>
              <w:t>резервом управленческих кадров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1.6. </w:t>
            </w:r>
            <w:r>
              <w:rPr>
                <w:rFonts w:ascii="Times New Roman" w:hAnsi="Times New Roman"/>
              </w:rPr>
              <w:t>развитие системы подготовки кадров для 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службы, дополнительного профессионального образования  муниципальных служ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1.</w:t>
            </w:r>
          </w:p>
          <w:p w14:paraId="80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2 «</w:t>
            </w:r>
            <w:r>
              <w:rPr>
                <w:rFonts w:ascii="Times New Roman" w:hAnsi="Times New Roman"/>
                <w:color w:val="000000"/>
              </w:rPr>
              <w:t>Обеспечение реализации муниципальной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граммы «Муниципальная полит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8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10 425,2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10 425,2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</w:t>
            </w:r>
          </w:p>
          <w:p w14:paraId="9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Расходы на выплаты по оплате труда</w:t>
            </w:r>
            <w:r>
              <w:rPr>
                <w:rFonts w:ascii="Times New Roman" w:hAnsi="Times New Roman"/>
              </w:rPr>
              <w:t xml:space="preserve"> руководства и </w:t>
            </w:r>
            <w:r>
              <w:rPr>
                <w:rFonts w:ascii="Times New Roman" w:hAnsi="Times New Roman"/>
              </w:rPr>
              <w:t>работников Администрации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Своевременная выплата заработной платы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начислений на выплату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8232,8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2.2 </w:t>
            </w:r>
            <w:r>
              <w:rPr>
                <w:rFonts w:ascii="Times New Roman" w:hAnsi="Times New Roman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по социально-экономическому прогнозированию Затуливетрова Е.А.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Приобретение товаров и выполнение услуг для муниципальных нужд (канцелярия, хоз. товары, ГСМ, запчасти, ТО автомобилей, страховка, </w:t>
            </w:r>
            <w:r>
              <w:rPr>
                <w:rFonts w:ascii="Times New Roman" w:hAnsi="Times New Roman"/>
                <w:color w:val="000000"/>
                <w:sz w:val="24"/>
              </w:rPr>
              <w:t>работы, услуги, коммун услуги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2 112,5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2 112,5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 xml:space="preserve">специалист по правовой и кадровой работе, делопроизводству, архивному делу Стоянова Е.Н.  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2.4 </w:t>
            </w:r>
            <w:r>
              <w:rPr>
                <w:rFonts w:ascii="Times New Roman" w:hAnsi="Times New Roman"/>
              </w:rPr>
              <w:t>Реализация направления расходов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бухгалтер Администрации Ткаченко Н.А.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Уплата н</w:t>
            </w:r>
            <w:r>
              <w:rPr>
                <w:rFonts w:ascii="Times New Roman" w:hAnsi="Times New Roman"/>
                <w:sz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2.</w:t>
            </w:r>
          </w:p>
          <w:p w14:paraId="B9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8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мия бюджетных средств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«Долгосрочное финансовое планирование»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</w:t>
            </w:r>
          </w:p>
          <w:p w14:paraId="CC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по росту доходного потенциала  Кринично-Лугского сельского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</w:rPr>
              <w:t xml:space="preserve"> по прогнозированию доходов и налогам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достижение 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стойчивой положительной динамики поступлений по всем видам налоговых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(в сопоставимых условиях)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</w:t>
            </w:r>
          </w:p>
          <w:p w14:paraId="D6000000">
            <w:pPr>
              <w:rPr>
                <w:sz w:val="22"/>
              </w:rPr>
            </w:pPr>
            <w:r>
              <w:rPr>
                <w:sz w:val="22"/>
              </w:rPr>
              <w:t>Формирование расходов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 поселения</w:t>
            </w:r>
          </w:p>
          <w:p w14:paraId="D7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муниципальными программами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sz w:val="22"/>
              </w:rPr>
            </w:pPr>
            <w:r>
              <w:rPr>
                <w:sz w:val="22"/>
              </w:rPr>
              <w:t>формирование и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полнение бюджета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на основе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граммно-целевых принципов (планир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вание, контроль 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фективности использ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вания </w:t>
            </w:r>
            <w:r>
              <w:rPr>
                <w:sz w:val="22"/>
              </w:rPr>
              <w:t>бюджетных средств);</w:t>
            </w:r>
          </w:p>
          <w:p w14:paraId="D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2019 году более 90 процентов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Контрольное событие </w:t>
            </w:r>
          </w:p>
          <w:p w14:paraId="E2000000">
            <w:pPr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  <w:p w14:paraId="E3000000">
            <w:r>
              <w:rPr>
                <w:sz w:val="22"/>
              </w:rPr>
              <w:t>Внесение изменений в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жетный прогноз Кринично-Лугского сельского поселен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r>
              <w:rPr>
                <w:sz w:val="22"/>
              </w:rPr>
              <w:t>Принятие постановл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Администрации Кринично-Лугского сельского поселения о внесении изменений в бюджетный прогноз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rPr>
                <w:rFonts w:ascii="Times New Roman" w:hAnsi="Times New Roman"/>
              </w:rPr>
            </w:pPr>
            <w:r>
              <w:rPr>
                <w:rStyle w:val="Style_9_ch"/>
                <w:rFonts w:ascii="Times New Roman" w:hAnsi="Times New Roman"/>
                <w:color w:val="00000A"/>
                <w:u w:val="none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4.1.</w:t>
            </w:r>
          </w:p>
          <w:p w14:paraId="F600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Подготовка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ектов нормати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ных правовых актов Администрации по вопросам организации бюджетного процесса.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4.2.</w:t>
            </w:r>
          </w:p>
          <w:p w14:paraId="00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Обеспечение качественного и своевременного исполнения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жета Кринично-Лугского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4.3.</w:t>
            </w:r>
          </w:p>
          <w:p w14:paraId="0A010000">
            <w:pPr>
              <w:rPr>
                <w:sz w:val="22"/>
              </w:rPr>
            </w:pPr>
            <w:r>
              <w:rPr>
                <w:sz w:val="22"/>
              </w:rPr>
              <w:t>Сопровождение единой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формационной системы 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общественными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сами Ростовской области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rPr>
                <w:rFonts w:ascii="Times New Roman" w:hAnsi="Times New Roman"/>
              </w:rPr>
              <w:t>. инспектор-системный администратор Лазарев М.В.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Выполнение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 по сопровождению программного обеспечения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sz w:val="22"/>
              </w:rPr>
            </w:pPr>
            <w:r>
              <w:rPr>
                <w:sz w:val="22"/>
              </w:rPr>
              <w:t>Контрольное событие 4.</w:t>
            </w:r>
          </w:p>
          <w:p w14:paraId="14010000">
            <w:r>
              <w:rPr>
                <w:sz w:val="22"/>
              </w:rPr>
              <w:t>Представление  в представ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тельный орган Кринично-Лугского сельского поселения  проекта решения «О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жете Кринично-Лугского сельского поселения»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r>
              <w:rPr>
                <w:sz w:val="22"/>
              </w:rPr>
              <w:t xml:space="preserve"> внесение проекта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шения о бюджете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 в представительный 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ган Кринично-Лугского сельского поселения  в сроки, уст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новленные 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ным кодексом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Ноябрь 20</w:t>
            </w:r>
            <w:r>
              <w:rPr>
                <w:sz w:val="24"/>
              </w:rPr>
              <w:t>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sz w:val="22"/>
              </w:rPr>
            </w:pPr>
            <w:r>
              <w:rPr>
                <w:rStyle w:val="Style_9_ch"/>
                <w:color w:val="00000A"/>
                <w:sz w:val="22"/>
                <w:u w:val="none"/>
              </w:rPr>
              <w:t>Подпрограмма 5</w:t>
            </w:r>
            <w:r>
              <w:rPr>
                <w:sz w:val="22"/>
              </w:rPr>
              <w:t xml:space="preserve"> «Управление муниципальным долгом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селения </w:t>
            </w:r>
            <w:r>
              <w:rPr>
                <w:sz w:val="22"/>
              </w:rPr>
              <w:t>»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5.1.</w:t>
            </w:r>
          </w:p>
          <w:p w14:paraId="27010000">
            <w:pPr>
              <w:rPr>
                <w:sz w:val="22"/>
              </w:rPr>
            </w:pPr>
            <w:r>
              <w:rPr>
                <w:sz w:val="22"/>
              </w:rPr>
              <w:t>Обеспечение проведения ед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ной политики муниципальных заимствований Кринично-Лугского сельского поселения, управления муниципальным долгом в соответствии с </w:t>
            </w:r>
            <w:r>
              <w:rPr>
                <w:rStyle w:val="Style_9_ch"/>
                <w:sz w:val="22"/>
              </w:rPr>
              <w:fldChar w:fldCharType="begin"/>
            </w:r>
            <w:r>
              <w:rPr>
                <w:rStyle w:val="Style_9_ch"/>
                <w:sz w:val="22"/>
              </w:rPr>
              <w:instrText>HYPERLINK "garantf1://12012604.0"</w:instrText>
            </w:r>
            <w:r>
              <w:rPr>
                <w:rStyle w:val="Style_9_ch"/>
                <w:sz w:val="22"/>
              </w:rPr>
              <w:fldChar w:fldCharType="separate"/>
            </w:r>
            <w:r>
              <w:rPr>
                <w:rStyle w:val="Style_9_ch"/>
                <w:sz w:val="22"/>
              </w:rPr>
              <w:t>Б</w:t>
            </w:r>
            <w:r>
              <w:rPr>
                <w:rStyle w:val="Style_9_ch"/>
                <w:color w:val="00000A"/>
                <w:sz w:val="22"/>
              </w:rPr>
              <w:t>ю</w:t>
            </w:r>
            <w:r>
              <w:rPr>
                <w:rStyle w:val="Style_9_ch"/>
                <w:color w:val="00000A"/>
                <w:sz w:val="22"/>
              </w:rPr>
              <w:t>д</w:t>
            </w:r>
            <w:r>
              <w:rPr>
                <w:rStyle w:val="Style_9_ch"/>
                <w:color w:val="00000A"/>
                <w:sz w:val="22"/>
              </w:rPr>
              <w:t>жетным кодексом</w:t>
            </w:r>
            <w:r>
              <w:rPr>
                <w:rStyle w:val="Style_9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ской Федерации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сохранение объема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нормативов,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5.2.</w:t>
            </w:r>
          </w:p>
          <w:p w14:paraId="31010000">
            <w:pPr>
              <w:rPr>
                <w:sz w:val="22"/>
              </w:rPr>
            </w:pPr>
            <w:r>
              <w:rPr>
                <w:sz w:val="22"/>
              </w:rPr>
              <w:t>Планирование бюджетных 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сигнований на обслуживание муниципального долга 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rPr>
                <w:sz w:val="24"/>
              </w:rPr>
            </w:pPr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планирование расходов на обслуживание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 Кринично-Лугского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рации; 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долженности по расходам на обслуж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вание 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ниципального долга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r>
              <w:rPr>
                <w:sz w:val="22"/>
              </w:rPr>
              <w:t>Контрольное событие 5.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хранение объема 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сельского поселения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 план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рование расходов на его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служивание в пределах норм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тивов, установленных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жетным кодексом Российской 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дерации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r>
              <w:t>Заведующий сектором экономики и финансов Билая М.Н</w:t>
            </w:r>
            <w:r>
              <w:t>.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r>
              <w:rPr>
                <w:sz w:val="22"/>
              </w:rPr>
              <w:t>отсутствие просроче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женности по долговым обязател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ствам и расходам на обслуживание муниц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пального долга </w:t>
            </w:r>
            <w:r>
              <w:rPr>
                <w:sz w:val="22"/>
              </w:rPr>
              <w:t>Кр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нично-Лугского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3E010000">
            <w:pPr>
              <w:ind/>
              <w:jc w:val="center"/>
            </w:pPr>
            <w:r>
              <w:rPr>
                <w:sz w:val="22"/>
              </w:rPr>
              <w:t>период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10 425,2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10 425,2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C010000">
      <w:pPr>
        <w:ind w:firstLine="540" w:left="0"/>
        <w:jc w:val="both"/>
        <w:rPr>
          <w:sz w:val="24"/>
        </w:rPr>
      </w:pPr>
      <w:bookmarkStart w:id="1" w:name="Par1127"/>
      <w:bookmarkEnd w:id="1"/>
    </w:p>
    <w:p w14:paraId="4D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&lt;1&gt;</w:t>
      </w:r>
      <w:r>
        <w:rPr>
          <w:sz w:val="20"/>
        </w:rPr>
        <w:fldChar w:fldCharType="end"/>
      </w:r>
      <w:r>
        <w:rPr>
          <w:sz w:val="20"/>
        </w:rPr>
        <w:t xml:space="preserve"> По строке «Мероприятие», «Приоритетное мероприятие» указывается заместитель руководителя, курирующий данное направление, либо начальник стру</w:t>
      </w:r>
      <w:r>
        <w:rPr>
          <w:sz w:val="20"/>
        </w:rPr>
        <w:t>к</w:t>
      </w:r>
      <w:r>
        <w:rPr>
          <w:sz w:val="20"/>
        </w:rPr>
        <w:t>турного подразделения, непосредственно подчиненный руководителю. По строке «Контрольное событие муниципальной програ</w:t>
      </w:r>
      <w:r>
        <w:rPr>
          <w:sz w:val="20"/>
        </w:rPr>
        <w:t>м</w:t>
      </w:r>
      <w:r>
        <w:rPr>
          <w:sz w:val="20"/>
        </w:rPr>
        <w:t>мы» указывается руководитель, а также заместитель руководителя, курирующий данное направление, либо начальник структурного подразделения, неп</w:t>
      </w:r>
      <w:r>
        <w:rPr>
          <w:sz w:val="20"/>
        </w:rPr>
        <w:t>о</w:t>
      </w:r>
      <w:r>
        <w:rPr>
          <w:sz w:val="20"/>
        </w:rPr>
        <w:t xml:space="preserve">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14:paraId="4E010000">
      <w:pPr>
        <w:ind w:firstLine="284" w:left="0"/>
        <w:jc w:val="both"/>
        <w:rPr>
          <w:sz w:val="20"/>
        </w:rPr>
      </w:pPr>
      <w:r>
        <w:rPr>
          <w:sz w:val="20"/>
        </w:rPr>
        <w:t xml:space="preserve">&lt;2&gt; Объем расходов приводится на очередной финансовый год. </w:t>
      </w:r>
    </w:p>
    <w:p w14:paraId="4F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&lt;3&gt;</w:t>
      </w:r>
      <w:r>
        <w:rPr>
          <w:sz w:val="20"/>
        </w:rPr>
        <w:fldChar w:fldCharType="end"/>
      </w:r>
      <w:r>
        <w:rPr>
          <w:sz w:val="20"/>
        </w:rPr>
        <w:t xml:space="preserve"> Бюджетные ассигнования, предусмотренные на реализацию основного мероприятия,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(в случае их нал</w:t>
      </w:r>
      <w:r>
        <w:rPr>
          <w:sz w:val="20"/>
        </w:rPr>
        <w:t>и</w:t>
      </w:r>
      <w:r>
        <w:rPr>
          <w:sz w:val="20"/>
        </w:rPr>
        <w:t>чия).</w:t>
      </w:r>
    </w:p>
    <w:p w14:paraId="50010000">
      <w:pPr>
        <w:ind w:firstLine="284" w:left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HYPERLINK \l "Par1127"</w:instrText>
      </w:r>
      <w:r>
        <w:rPr>
          <w:sz w:val="20"/>
        </w:rPr>
        <w:fldChar w:fldCharType="separate"/>
      </w:r>
      <w:r>
        <w:rPr>
          <w:sz w:val="20"/>
        </w:rPr>
        <w:t>&lt;4&gt;</w:t>
      </w:r>
      <w:r>
        <w:rPr>
          <w:sz w:val="20"/>
        </w:rPr>
        <w:fldChar w:fldCharType="end"/>
      </w:r>
      <w:r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- ПОМ.</w:t>
      </w:r>
    </w:p>
    <w:p w14:paraId="51010000">
      <w:pPr>
        <w:ind w:firstLine="284" w:left="0"/>
        <w:jc w:val="both"/>
        <w:rPr>
          <w:sz w:val="22"/>
        </w:rPr>
      </w:pPr>
    </w:p>
    <w:p w14:paraId="52010000">
      <w:pPr>
        <w:rPr>
          <w:sz w:val="24"/>
        </w:rPr>
      </w:pPr>
    </w:p>
    <w:p w14:paraId="53010000">
      <w:pPr>
        <w:ind/>
        <w:jc w:val="both"/>
        <w:rPr>
          <w:sz w:val="24"/>
        </w:rPr>
      </w:pPr>
      <w:r>
        <w:rPr>
          <w:sz w:val="28"/>
        </w:rPr>
        <w:t xml:space="preserve">Глава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   </w:t>
      </w:r>
      <w:r>
        <w:rPr>
          <w:sz w:val="28"/>
        </w:rPr>
        <w:t xml:space="preserve">Р.А. Юнда </w:t>
      </w:r>
    </w:p>
    <w:sectPr>
      <w:footerReference r:id="rId1" w:type="default"/>
      <w:pgSz w:h="11906" w:orient="landscape" w:w="16838"/>
      <w:pgMar w:bottom="567" w:footer="720" w:gutter="0" w:header="720" w:left="851" w:right="567" w:top="147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4" w:type="paragraph">
    <w:name w:val="Standard"/>
    <w:link w:val="Style_4_ch"/>
    <w:pPr>
      <w:widowControl w:val="0"/>
      <w:ind/>
    </w:pPr>
    <w:rPr>
      <w:sz w:val="24"/>
    </w:rPr>
  </w:style>
  <w:style w:styleId="Style_4_ch" w:type="character">
    <w:name w:val="Standard"/>
    <w:link w:val="Style_4"/>
    <w:rPr>
      <w:sz w:val="24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9" w:type="paragraph">
    <w:name w:val="Интернет-ссылка"/>
    <w:link w:val="Style_9_ch"/>
    <w:rPr>
      <w:color w:val="0000FF"/>
      <w:u w:val="single"/>
    </w:rPr>
  </w:style>
  <w:style w:styleId="Style_9_ch" w:type="character">
    <w:name w:val="Интернет-ссылка"/>
    <w:link w:val="Style_9"/>
    <w:rPr>
      <w:color w:val="0000FF"/>
      <w:u w:val="single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Style6"/>
    <w:basedOn w:val="Style_11"/>
    <w:link w:val="Style_5_ch"/>
    <w:pPr>
      <w:widowControl w:val="0"/>
      <w:spacing w:line="321" w:lineRule="exact"/>
      <w:ind w:firstLine="698" w:left="0"/>
    </w:pPr>
    <w:rPr>
      <w:sz w:val="24"/>
    </w:rPr>
  </w:style>
  <w:style w:styleId="Style_5_ch" w:type="character">
    <w:name w:val="Style6"/>
    <w:basedOn w:val="Style_11_ch"/>
    <w:link w:val="Style_5"/>
    <w:rPr>
      <w:sz w:val="24"/>
    </w:rPr>
  </w:style>
  <w:style w:styleId="Style_10" w:type="paragraph">
    <w:name w:val="Balloon Text"/>
    <w:basedOn w:val="Style_11"/>
    <w:link w:val="Style_10_ch"/>
    <w:rPr>
      <w:rFonts w:ascii="Tahoma" w:hAnsi="Tahoma"/>
      <w:sz w:val="16"/>
    </w:rPr>
  </w:style>
  <w:style w:styleId="Style_10_ch" w:type="character">
    <w:name w:val="Balloon Text"/>
    <w:basedOn w:val="Style_11_ch"/>
    <w:link w:val="Style_10"/>
    <w:rPr>
      <w:rFonts w:ascii="Tahoma" w:hAnsi="Tahoma"/>
      <w:sz w:val="16"/>
    </w:rPr>
  </w:style>
  <w:style w:styleId="Style_17" w:type="paragraph">
    <w:name w:val="toc 3"/>
    <w:next w:val="Style_1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 Paragraph"/>
    <w:basedOn w:val="Style_11"/>
    <w:link w:val="Style_18_ch"/>
    <w:pPr>
      <w:ind w:firstLine="0" w:left="720"/>
    </w:pPr>
    <w:rPr>
      <w:rFonts w:ascii="Calibri" w:hAnsi="Calibri"/>
      <w:sz w:val="28"/>
    </w:rPr>
  </w:style>
  <w:style w:styleId="Style_18_ch" w:type="character">
    <w:name w:val="List Paragraph"/>
    <w:basedOn w:val="Style_11_ch"/>
    <w:link w:val="Style_18"/>
    <w:rPr>
      <w:rFonts w:ascii="Calibri" w:hAnsi="Calibri"/>
      <w:sz w:val="28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3" w:type="paragraph">
    <w:name w:val="Body Text Indent"/>
    <w:basedOn w:val="Style_11"/>
    <w:link w:val="Style_3_ch"/>
    <w:pPr>
      <w:ind w:firstLine="680" w:left="0"/>
      <w:jc w:val="both"/>
    </w:pPr>
    <w:rPr>
      <w:sz w:val="28"/>
    </w:rPr>
  </w:style>
  <w:style w:styleId="Style_3_ch" w:type="character">
    <w:name w:val="Body Text Indent"/>
    <w:basedOn w:val="Style_11_ch"/>
    <w:link w:val="Style_3"/>
    <w:rPr>
      <w:sz w:val="28"/>
    </w:rPr>
  </w:style>
  <w:style w:styleId="Style_20" w:type="paragraph">
    <w:name w:val="heading 1"/>
    <w:next w:val="Style_11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6" w:type="paragraph">
    <w:name w:val="Font Style23"/>
    <w:link w:val="Style_6_ch"/>
    <w:rPr>
      <w:rFonts w:ascii="Times New Roman" w:hAnsi="Times New Roman"/>
      <w:sz w:val="26"/>
    </w:rPr>
  </w:style>
  <w:style w:styleId="Style_6_ch" w:type="character">
    <w:name w:val="Font Style23"/>
    <w:link w:val="Style_6"/>
    <w:rPr>
      <w:rFonts w:ascii="Times New Roman" w:hAnsi="Times New Roman"/>
      <w:sz w:val="26"/>
    </w:rPr>
  </w:style>
  <w:style w:styleId="Style_26" w:type="paragraph">
    <w:name w:val="toc 9"/>
    <w:next w:val="Style_11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 Знак Знак9"/>
    <w:link w:val="Style_27_ch"/>
    <w:rPr>
      <w:rFonts w:ascii="Tahoma" w:hAnsi="Tahoma"/>
      <w:sz w:val="16"/>
    </w:rPr>
  </w:style>
  <w:style w:styleId="Style_27_ch" w:type="character">
    <w:name w:val=" Знак Знак9"/>
    <w:link w:val="Style_27"/>
    <w:rPr>
      <w:rFonts w:ascii="Tahoma" w:hAnsi="Tahoma"/>
      <w:sz w:val="16"/>
    </w:rPr>
  </w:style>
  <w:style w:styleId="Style_28" w:type="paragraph">
    <w:name w:val="toc 8"/>
    <w:next w:val="Style_11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9" w:type="paragraph">
    <w:name w:val="toc 5"/>
    <w:next w:val="Style_1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11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1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1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33" w:type="paragraph">
    <w:name w:val="heading 2"/>
    <w:next w:val="Style_1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2023-10-27T05:58:33Z</dcterms:modified>
</cp:coreProperties>
</file>