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к отчету об исполнении плана реализации </w:t>
      </w:r>
      <w:r>
        <w:rPr>
          <w:sz w:val="28"/>
        </w:rPr>
        <w:t>муниципальной программы 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     за отчетный период 1 полугодия </w:t>
      </w:r>
      <w:r>
        <w:rPr>
          <w:sz w:val="28"/>
        </w:rPr>
        <w:t>2023</w:t>
      </w:r>
      <w:r>
        <w:rPr>
          <w:sz w:val="28"/>
        </w:rPr>
        <w:t xml:space="preserve"> г.</w:t>
      </w:r>
    </w:p>
    <w:p w14:paraId="04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0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sz w:val="28"/>
        </w:rPr>
        <w:t>«Муниципальная политика»</w:t>
      </w:r>
      <w:r>
        <w:rPr>
          <w:rFonts w:ascii="Times New Roman" w:hAnsi="Times New Roman"/>
          <w:sz w:val="28"/>
        </w:rPr>
        <w:t xml:space="preserve"> утверждена постановлением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>
        <w:rPr>
          <w:sz w:val="28"/>
        </w:rPr>
        <w:t>23.11.2018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 xml:space="preserve">30 </w:t>
      </w:r>
      <w:r>
        <w:rPr>
          <w:sz w:val="28"/>
        </w:rPr>
        <w:t>(да</w:t>
      </w:r>
      <w:r>
        <w:rPr>
          <w:sz w:val="28"/>
        </w:rPr>
        <w:t>лее – муниципальная программа).</w:t>
      </w:r>
    </w:p>
    <w:p w14:paraId="0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Ответственный исполнитель – Администрация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поселения: главный специалист по правовой и кадровой работе, архивному делу и делопроизводству и заведующий сектором экономики и финансов</w:t>
      </w:r>
      <w:r>
        <w:rPr>
          <w:rFonts w:ascii="Times New Roman" w:hAnsi="Times New Roman"/>
          <w:sz w:val="28"/>
        </w:rPr>
        <w:t>.</w:t>
      </w:r>
    </w:p>
    <w:p w14:paraId="07000000">
      <w:pPr>
        <w:widowControl w:val="0"/>
        <w:spacing w:after="0" w:line="240" w:lineRule="auto"/>
        <w:ind w:firstLine="709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Муниципальная программа </w:t>
      </w:r>
      <w:r>
        <w:rPr>
          <w:rFonts w:ascii="Times New Roman" w:hAnsi="Times New Roman"/>
          <w:sz w:val="28"/>
        </w:rPr>
        <w:t xml:space="preserve">включает в себя </w:t>
      </w:r>
      <w:r>
        <w:rPr>
          <w:sz w:val="28"/>
        </w:rPr>
        <w:t>5</w:t>
      </w:r>
      <w:r>
        <w:rPr>
          <w:sz w:val="28"/>
        </w:rPr>
        <w:t xml:space="preserve"> подпрограмм:</w:t>
      </w:r>
    </w:p>
    <w:p w14:paraId="08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>;</w:t>
      </w:r>
      <w:r>
        <w:rPr>
          <w:sz w:val="28"/>
        </w:rPr>
        <w:t xml:space="preserve">    </w:t>
      </w:r>
    </w:p>
    <w:p w14:paraId="09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A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«Долгосрочное финансовое планирование»</w:t>
      </w:r>
      <w:r>
        <w:rPr>
          <w:sz w:val="28"/>
        </w:rPr>
        <w:t>;</w:t>
      </w:r>
    </w:p>
    <w:p w14:paraId="0B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«Нормативно-методическое, информационное обеспечение и организация бюджетного процесса»</w:t>
      </w:r>
      <w:r>
        <w:rPr>
          <w:sz w:val="28"/>
        </w:rPr>
        <w:t>;</w:t>
      </w:r>
    </w:p>
    <w:p w14:paraId="0C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«Управление муниципальным долгом Кринично-Лугского сельского поселения»</w:t>
      </w:r>
      <w:r>
        <w:rPr>
          <w:sz w:val="28"/>
        </w:rPr>
        <w:t>.</w:t>
      </w:r>
    </w:p>
    <w:p w14:paraId="0D000000">
      <w:pPr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Распоряжением </w:t>
      </w:r>
      <w:r>
        <w:rPr>
          <w:sz w:val="28"/>
        </w:rPr>
        <w:t xml:space="preserve">Администрации от 27.12.2022 </w:t>
      </w:r>
      <w:r>
        <w:rPr>
          <w:sz w:val="28"/>
        </w:rPr>
        <w:t>№</w:t>
      </w:r>
      <w:r>
        <w:rPr>
          <w:sz w:val="28"/>
        </w:rPr>
        <w:t xml:space="preserve"> 90</w:t>
      </w:r>
      <w:r>
        <w:rPr>
          <w:sz w:val="28"/>
        </w:rPr>
        <w:t xml:space="preserve"> </w:t>
      </w:r>
      <w:r>
        <w:rPr>
          <w:sz w:val="28"/>
        </w:rPr>
        <w:t xml:space="preserve">утверждён План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на 20</w:t>
      </w:r>
      <w:r>
        <w:rPr>
          <w:sz w:val="28"/>
        </w:rPr>
        <w:t>23</w:t>
      </w:r>
      <w:r>
        <w:rPr>
          <w:sz w:val="28"/>
        </w:rPr>
        <w:t xml:space="preserve"> год.</w:t>
      </w:r>
    </w:p>
    <w:p w14:paraId="0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запланированных расходов на реализацию муниципальной программы в 2023 году составит 10 151,6 тыс. рублей, в том числе:</w:t>
      </w:r>
    </w:p>
    <w:p w14:paraId="0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 – 20,0 тыс. рублей,</w:t>
      </w:r>
    </w:p>
    <w:p w14:paraId="1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rFonts w:ascii="Times New Roman" w:hAnsi="Times New Roman"/>
          <w:sz w:val="28"/>
        </w:rPr>
        <w:t xml:space="preserve"> – 1 835,7</w:t>
      </w:r>
      <w:r>
        <w:rPr>
          <w:rFonts w:ascii="Times New Roman" w:hAnsi="Times New Roman"/>
          <w:sz w:val="28"/>
        </w:rPr>
        <w:t xml:space="preserve"> тыс. рублей.</w:t>
      </w:r>
    </w:p>
    <w:p w14:paraId="1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3-5 финансирование не предусмотрено. </w:t>
      </w:r>
    </w:p>
    <w:p w14:paraId="1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Объемы финансирования муниципальной программы утверждены решением Собрания депутатов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от 23.12.2022 № 62 «Об утверждении бюджета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2023 год и на плановый период 2024 и 2025 годов». </w:t>
      </w:r>
    </w:p>
    <w:p w14:paraId="1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расходов по муниципальной программе за первое полугодие 2023 года составило 4 401,5 тыс. рублей, или 43,4% к плану, в том числе:</w:t>
      </w:r>
    </w:p>
    <w:p w14:paraId="1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подпрограмм</w:t>
      </w:r>
      <w:r>
        <w:rPr>
          <w:rFonts w:ascii="Times New Roman" w:hAnsi="Times New Roman"/>
          <w:sz w:val="28"/>
        </w:rPr>
        <w:t xml:space="preserve">у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rFonts w:ascii="Times New Roman" w:hAnsi="Times New Roman"/>
          <w:sz w:val="28"/>
        </w:rPr>
        <w:t xml:space="preserve"> – 16,9 тыс. рублей, или 84,5 %.</w:t>
      </w:r>
    </w:p>
    <w:p w14:paraId="1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подпрограмму </w:t>
      </w:r>
      <w:r>
        <w:rPr>
          <w:sz w:val="28"/>
        </w:rPr>
        <w:t>«Обеспечение реализации муниципальной программы «Муниципальная политика»</w:t>
      </w:r>
      <w:r>
        <w:rPr>
          <w:rFonts w:ascii="Times New Roman" w:hAnsi="Times New Roman"/>
          <w:sz w:val="28"/>
        </w:rPr>
        <w:t xml:space="preserve"> – 4 384,5</w:t>
      </w:r>
      <w:r>
        <w:rPr>
          <w:rFonts w:ascii="Times New Roman" w:hAnsi="Times New Roman"/>
          <w:sz w:val="28"/>
        </w:rPr>
        <w:t xml:space="preserve"> тыс. рублей, или 43,3 %.</w:t>
      </w:r>
    </w:p>
    <w:p w14:paraId="16000000">
      <w:pPr>
        <w:spacing w:line="240" w:lineRule="auto"/>
        <w:ind/>
        <w:jc w:val="both"/>
        <w:rPr>
          <w:rStyle w:val="Style_2_ch"/>
          <w:sz w:val="28"/>
        </w:rPr>
      </w:pPr>
      <w:r>
        <w:rPr>
          <w:rStyle w:val="Style_2_ch"/>
          <w:sz w:val="28"/>
        </w:rPr>
        <w:tab/>
      </w:r>
      <w:r>
        <w:rPr>
          <w:rStyle w:val="Style_2_ch"/>
          <w:sz w:val="28"/>
        </w:rPr>
        <w:t xml:space="preserve">В ходе анализа исполнения плана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rStyle w:val="Style_2_ch"/>
          <w:sz w:val="28"/>
        </w:rPr>
        <w:t>установлено</w:t>
      </w:r>
      <w:r>
        <w:rPr>
          <w:rStyle w:val="Style_2_ch"/>
          <w:sz w:val="28"/>
        </w:rPr>
        <w:t xml:space="preserve"> выполнение </w:t>
      </w:r>
      <w:r>
        <w:rPr>
          <w:rStyle w:val="Style_2_ch"/>
          <w:sz w:val="28"/>
        </w:rPr>
        <w:t xml:space="preserve">действия </w:t>
      </w:r>
      <w:r>
        <w:rPr>
          <w:rStyle w:val="Style_2_ch"/>
          <w:sz w:val="28"/>
        </w:rPr>
        <w:t>Указа Губернатора Ростовской области от 27.02.2022 года по расходованию средств бюджета по мер</w:t>
      </w:r>
      <w:r>
        <w:rPr>
          <w:rStyle w:val="Style_2_ch"/>
          <w:sz w:val="28"/>
        </w:rPr>
        <w:t>о</w:t>
      </w:r>
      <w:r>
        <w:rPr>
          <w:rStyle w:val="Style_2_ch"/>
          <w:sz w:val="28"/>
        </w:rPr>
        <w:t>приятиям первоочередных расходов</w:t>
      </w:r>
      <w:r>
        <w:rPr>
          <w:rStyle w:val="Style_2_ch"/>
          <w:sz w:val="28"/>
        </w:rPr>
        <w:t>.</w:t>
      </w:r>
      <w:r>
        <w:rPr>
          <w:rStyle w:val="Style_2_ch"/>
          <w:sz w:val="28"/>
        </w:rPr>
        <w:t xml:space="preserve"> </w:t>
      </w:r>
    </w:p>
    <w:p w14:paraId="17000000">
      <w:pPr>
        <w:tabs>
          <w:tab w:leader="none" w:pos="2730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подпрограммы 1 «</w:t>
      </w:r>
      <w:r>
        <w:rPr>
          <w:rFonts w:ascii="Times New Roman" w:hAnsi="Times New Roman"/>
          <w:sz w:val="28"/>
        </w:rPr>
        <w:t>Развитие муниципальной служб</w:t>
      </w:r>
      <w:r>
        <w:rPr>
          <w:rFonts w:ascii="Times New Roman" w:hAnsi="Times New Roman"/>
          <w:sz w:val="28"/>
        </w:rPr>
        <w:t>» предусмотрена реализация 6 основных мероприятий.</w:t>
      </w:r>
    </w:p>
    <w:p w14:paraId="18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1.1 «</w:t>
      </w:r>
      <w:r>
        <w:rPr>
          <w:rFonts w:ascii="Times New Roman" w:hAnsi="Times New Roman"/>
          <w:sz w:val="28"/>
        </w:rPr>
        <w:t>Оптимизация штатной численности муниципальных служащих</w:t>
      </w:r>
      <w:r>
        <w:rPr>
          <w:rFonts w:ascii="Times New Roman" w:hAnsi="Times New Roman"/>
          <w:sz w:val="28"/>
        </w:rPr>
        <w:t>» выполнено.</w:t>
      </w:r>
    </w:p>
    <w:p w14:paraId="19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1.2 «</w:t>
      </w:r>
      <w:r>
        <w:rPr>
          <w:rFonts w:ascii="Times New Roman" w:hAnsi="Times New Roman"/>
          <w:sz w:val="28"/>
        </w:rPr>
        <w:t>Применение современных кадровых технологий при приеме на муниципальную службу и ее прохождении</w:t>
      </w:r>
      <w:r>
        <w:rPr>
          <w:rFonts w:ascii="Times New Roman" w:hAnsi="Times New Roman"/>
          <w:sz w:val="28"/>
        </w:rPr>
        <w:t xml:space="preserve">» выполнено. </w:t>
      </w:r>
    </w:p>
    <w:p w14:paraId="1A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1.3 «</w:t>
      </w:r>
      <w:r>
        <w:rPr>
          <w:rFonts w:ascii="Times New Roman" w:hAnsi="Times New Roman"/>
          <w:sz w:val="28"/>
        </w:rPr>
        <w:t xml:space="preserve">Реализация эффективных методов работы с кадровым резервом, муниципальным </w:t>
      </w:r>
      <w:r>
        <w:rPr>
          <w:rFonts w:ascii="Times New Roman" w:hAnsi="Times New Roman"/>
          <w:sz w:val="28"/>
        </w:rPr>
        <w:t>резервом управленческих кадров</w:t>
      </w:r>
      <w:r>
        <w:rPr>
          <w:rFonts w:ascii="Times New Roman" w:hAnsi="Times New Roman"/>
          <w:sz w:val="28"/>
        </w:rPr>
        <w:t xml:space="preserve">» выполнено. </w:t>
      </w:r>
    </w:p>
    <w:p w14:paraId="1B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1.4 «</w:t>
      </w:r>
      <w:r>
        <w:rPr>
          <w:rFonts w:ascii="Times New Roman" w:hAnsi="Times New Roman"/>
          <w:sz w:val="28"/>
        </w:rPr>
        <w:t>Проведение ежеквартального мониторинга состояния муниципальной службы в муниципальном образовании</w:t>
      </w:r>
      <w:r>
        <w:rPr>
          <w:rFonts w:ascii="Times New Roman" w:hAnsi="Times New Roman"/>
          <w:sz w:val="28"/>
        </w:rPr>
        <w:t xml:space="preserve">» выполнено. </w:t>
      </w:r>
    </w:p>
    <w:p w14:paraId="1C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1.5 «</w:t>
      </w:r>
      <w:r>
        <w:rPr>
          <w:rFonts w:ascii="Times New Roman" w:hAnsi="Times New Roman"/>
          <w:sz w:val="28"/>
        </w:rPr>
        <w:t>Обеспечение открытости и доступности информации о муниципальной службе</w:t>
      </w:r>
      <w:r>
        <w:rPr>
          <w:rFonts w:ascii="Times New Roman" w:hAnsi="Times New Roman"/>
          <w:sz w:val="28"/>
        </w:rPr>
        <w:t>» выполнено.</w:t>
      </w:r>
    </w:p>
    <w:p w14:paraId="1D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мероприятие 1.1. -1.5. в </w:t>
      </w:r>
      <w:r>
        <w:rPr>
          <w:rFonts w:ascii="Times New Roman" w:hAnsi="Times New Roman"/>
          <w:sz w:val="28"/>
        </w:rPr>
        <w:t>2023 году не предусмотрено финансирование</w:t>
      </w:r>
      <w:r>
        <w:rPr>
          <w:sz w:val="28"/>
        </w:rPr>
        <w:t>.</w:t>
      </w:r>
    </w:p>
    <w:p w14:paraId="1E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1.6. «Р</w:t>
      </w:r>
      <w:r>
        <w:rPr>
          <w:rFonts w:ascii="Times New Roman" w:hAnsi="Times New Roman"/>
          <w:sz w:val="28"/>
        </w:rPr>
        <w:t>азвитие системы подготовки кадров для 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службы, дополнительного профессионального образования  муниципальных служ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щих».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2 сотрудника повысили квалификацию (в сферу закупок и бухгалтерского учета), 3 сотрудника прошли обучение по охране труда.   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умма израсходованных средств составила 16,9 тыс. рублей</w:t>
      </w:r>
      <w:r>
        <w:rPr>
          <w:rFonts w:ascii="Times New Roman" w:hAnsi="Times New Roman"/>
          <w:sz w:val="28"/>
        </w:rPr>
        <w:t>.</w:t>
      </w:r>
    </w:p>
    <w:p w14:paraId="1F000000">
      <w:pPr>
        <w:tabs>
          <w:tab w:leader="none" w:pos="2730" w:val="left"/>
        </w:tabs>
        <w:spacing w:after="0" w:line="240" w:lineRule="auto"/>
        <w:ind w:firstLine="709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подпрограммы 2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Обеспечение реализации муниципальной 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граммы «Муниципальная полит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предусмотрена реализация 4 основных мероприятий.</w:t>
      </w:r>
    </w:p>
    <w:p w14:paraId="20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2.1 «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асходы на выплаты по оплате труда</w:t>
      </w:r>
      <w:r>
        <w:rPr>
          <w:rFonts w:ascii="Times New Roman" w:hAnsi="Times New Roman"/>
          <w:sz w:val="28"/>
        </w:rPr>
        <w:t xml:space="preserve"> руководства и </w:t>
      </w:r>
      <w:r>
        <w:rPr>
          <w:rFonts w:ascii="Times New Roman" w:hAnsi="Times New Roman"/>
          <w:sz w:val="28"/>
        </w:rPr>
        <w:t>работников Администрации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производились начисление и выплата заработной платы.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3 372,6 тыс. рублей</w:t>
      </w:r>
      <w:r>
        <w:rPr>
          <w:rFonts w:ascii="Times New Roman" w:hAnsi="Times New Roman"/>
          <w:sz w:val="28"/>
        </w:rPr>
        <w:t>.</w:t>
      </w:r>
    </w:p>
    <w:p w14:paraId="21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2.2 «</w:t>
      </w:r>
      <w:r>
        <w:rPr>
          <w:rFonts w:ascii="Times New Roman" w:hAnsi="Times New Roman"/>
          <w:sz w:val="28"/>
        </w:rPr>
        <w:t>Расходы на обеспечение функций Администрации сельского поселения». В</w:t>
      </w:r>
      <w:r>
        <w:rPr>
          <w:rFonts w:ascii="Times New Roman" w:hAnsi="Times New Roman"/>
          <w:sz w:val="28"/>
        </w:rPr>
        <w:t xml:space="preserve"> рамках данного мероприятия в отчетном периоде производились расходы на выплату </w:t>
      </w:r>
      <w:r>
        <w:rPr>
          <w:sz w:val="28"/>
        </w:rPr>
        <w:t>коммунальных услуг, услуг связи, предрейсовый медосмотр водителей, ТО автомобилей, ГСМ, приобретение запасных частей для автомобилей, строительных материалов и канцелярские товаров)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3 372,6 тыс. рублей</w:t>
      </w:r>
      <w:r>
        <w:rPr>
          <w:rFonts w:ascii="Times New Roman" w:hAnsi="Times New Roman"/>
          <w:sz w:val="28"/>
        </w:rPr>
        <w:t>.</w:t>
      </w:r>
    </w:p>
    <w:p w14:paraId="22000000">
      <w:pPr>
        <w:spacing w:line="240" w:lineRule="auto"/>
        <w:ind w:firstLine="709"/>
        <w:jc w:val="both"/>
        <w:rPr>
          <w:rStyle w:val="Style_2_ch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2.3 «Расходы по диспансеризации муниципальных служащих поселения». Расходование по данному мероприятию запланировано на </w:t>
      </w:r>
      <w:r>
        <w:rPr>
          <w:sz w:val="28"/>
        </w:rPr>
        <w:t>IV квартал.</w:t>
      </w:r>
    </w:p>
    <w:p w14:paraId="23000000">
      <w:pPr>
        <w:spacing w:line="240" w:lineRule="auto"/>
        <w:ind w:firstLine="709"/>
        <w:jc w:val="both"/>
        <w:rPr>
          <w:rStyle w:val="Style_2_ch"/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Основное мероприятие 2.4 «</w:t>
      </w:r>
      <w:r>
        <w:rPr>
          <w:rFonts w:ascii="Times New Roman" w:hAnsi="Times New Roman"/>
          <w:sz w:val="28"/>
        </w:rPr>
        <w:t xml:space="preserve">Реализация направления расходов». </w:t>
      </w:r>
      <w:r>
        <w:rPr>
          <w:rFonts w:ascii="Times New Roman" w:hAnsi="Times New Roman"/>
          <w:sz w:val="28"/>
        </w:rPr>
        <w:t xml:space="preserve">В рамках данного мероприятия в отчетном периоде производилась уплата </w:t>
      </w:r>
      <w:r>
        <w:rPr>
          <w:sz w:val="28"/>
        </w:rPr>
        <w:t>земельного и транспортного налогов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умма израсходованных средств составила 12,3 тыс. рублей</w:t>
      </w:r>
      <w:r>
        <w:rPr>
          <w:rFonts w:ascii="Times New Roman" w:hAnsi="Times New Roman"/>
          <w:sz w:val="28"/>
        </w:rPr>
        <w:t>.</w:t>
      </w:r>
    </w:p>
    <w:p w14:paraId="24000000">
      <w:pPr>
        <w:ind w:firstLine="709"/>
        <w:jc w:val="both"/>
        <w:rPr>
          <w:sz w:val="28"/>
        </w:rPr>
      </w:pPr>
      <w:r>
        <w:rPr>
          <w:sz w:val="28"/>
        </w:rPr>
        <w:t xml:space="preserve">На реализацию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3</w:t>
      </w:r>
      <w:r>
        <w:rPr>
          <w:sz w:val="28"/>
        </w:rPr>
        <w:t xml:space="preserve"> «Долгосрочное финансовое планирование»</w:t>
      </w:r>
      <w:r>
        <w:rPr>
          <w:sz w:val="28"/>
        </w:rPr>
        <w:t xml:space="preserve">,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4</w:t>
      </w:r>
      <w:r>
        <w:rPr>
          <w:sz w:val="28"/>
        </w:rPr>
        <w:t xml:space="preserve"> «Нормативно-методическое, информационное обеспечение и организация бюджетного процесса»</w:t>
      </w:r>
      <w:r>
        <w:rPr>
          <w:sz w:val="28"/>
        </w:rPr>
        <w:t xml:space="preserve">, </w:t>
      </w:r>
      <w:r>
        <w:rPr>
          <w:rStyle w:val="Style_3_ch"/>
          <w:color w:val="000000"/>
          <w:sz w:val="28"/>
          <w:u w:val="none"/>
        </w:rPr>
        <w:t>Подпрограмм</w:t>
      </w:r>
      <w:r>
        <w:rPr>
          <w:rStyle w:val="Style_3_ch"/>
          <w:color w:val="000000"/>
          <w:sz w:val="28"/>
          <w:u w:val="none"/>
        </w:rPr>
        <w:t>ы</w:t>
      </w:r>
      <w:r>
        <w:rPr>
          <w:rStyle w:val="Style_3_ch"/>
          <w:color w:val="000000"/>
          <w:sz w:val="28"/>
          <w:u w:val="none"/>
        </w:rPr>
        <w:t xml:space="preserve"> 5</w:t>
      </w:r>
      <w:r>
        <w:rPr>
          <w:sz w:val="28"/>
        </w:rPr>
        <w:t xml:space="preserve"> «Управление муниципальным долгом Кринично-Лугского сельского поселения»</w:t>
      </w:r>
      <w:r>
        <w:rPr>
          <w:sz w:val="28"/>
        </w:rPr>
        <w:t xml:space="preserve">, </w:t>
      </w:r>
      <w:r>
        <w:rPr>
          <w:sz w:val="28"/>
        </w:rPr>
        <w:t>в 2023</w:t>
      </w:r>
      <w:r>
        <w:rPr>
          <w:sz w:val="28"/>
        </w:rPr>
        <w:t xml:space="preserve"> году финансирование </w:t>
      </w:r>
      <w:r>
        <w:rPr>
          <w:sz w:val="28"/>
        </w:rPr>
        <w:t xml:space="preserve">не </w:t>
      </w:r>
      <w:r>
        <w:rPr>
          <w:sz w:val="28"/>
        </w:rPr>
        <w:t>предусмотрено</w:t>
      </w:r>
      <w:r>
        <w:rPr>
          <w:sz w:val="28"/>
        </w:rPr>
        <w:t>.</w:t>
      </w: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 xml:space="preserve">Все </w:t>
      </w:r>
      <w:r>
        <w:rPr>
          <w:rStyle w:val="Style_2_ch"/>
          <w:sz w:val="28"/>
        </w:rPr>
        <w:t>мероприяти</w:t>
      </w:r>
      <w:r>
        <w:rPr>
          <w:rStyle w:val="Style_2_ch"/>
          <w:sz w:val="28"/>
        </w:rPr>
        <w:t xml:space="preserve">я </w:t>
      </w:r>
      <w:r>
        <w:rPr>
          <w:rStyle w:val="Style_2_ch"/>
          <w:sz w:val="28"/>
        </w:rPr>
        <w:t xml:space="preserve">плана реализации </w:t>
      </w:r>
      <w:r>
        <w:rPr>
          <w:rStyle w:val="Style_2_ch"/>
          <w:sz w:val="28"/>
        </w:rPr>
        <w:t xml:space="preserve">этих подпрограмм соблюдаются в установленный </w:t>
      </w:r>
      <w:r>
        <w:rPr>
          <w:rStyle w:val="Style_2_ch"/>
          <w:sz w:val="28"/>
        </w:rPr>
        <w:t>срок</w:t>
      </w:r>
      <w:r>
        <w:rPr>
          <w:sz w:val="28"/>
        </w:rPr>
        <w:t>, запланированные показатели будут достигнуты</w:t>
      </w:r>
      <w:r>
        <w:rPr>
          <w:sz w:val="28"/>
        </w:rPr>
        <w:t>.</w:t>
      </w:r>
    </w:p>
    <w:p w14:paraId="25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Отчет об исполнении плана реализации муниципальной программы  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sz w:val="28"/>
        </w:rPr>
        <w:t xml:space="preserve">по итогам первого полугодия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года представлен в приложении к пояснительной записке.</w:t>
      </w:r>
    </w:p>
    <w:p w14:paraId="2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</w:rPr>
        <w:t>К</w:t>
      </w:r>
      <w:r>
        <w:rPr>
          <w:sz w:val="28"/>
        </w:rPr>
        <w:t xml:space="preserve">ринично-Лугского сельского поселения </w:t>
      </w:r>
      <w:r>
        <w:rPr>
          <w:sz w:val="28"/>
        </w:rPr>
        <w:t>«Муниципальная политика»</w:t>
      </w:r>
      <w:r>
        <w:rPr>
          <w:sz w:val="28"/>
        </w:rPr>
        <w:t xml:space="preserve"> </w:t>
      </w:r>
      <w:r>
        <w:rPr>
          <w:sz w:val="28"/>
        </w:rPr>
        <w:t>установлено отсутствие фактов несоблюдения сроков выполнения мероприятий, мероприятия выполн</w:t>
      </w:r>
      <w:r>
        <w:rPr>
          <w:sz w:val="28"/>
        </w:rPr>
        <w:t xml:space="preserve">яются </w:t>
      </w:r>
      <w:r>
        <w:rPr>
          <w:sz w:val="28"/>
        </w:rPr>
        <w:t>в установленные сроки, в</w:t>
      </w:r>
      <w:r>
        <w:rPr>
          <w:sz w:val="28"/>
        </w:rPr>
        <w:t xml:space="preserve"> </w:t>
      </w:r>
      <w:r>
        <w:rPr>
          <w:sz w:val="28"/>
        </w:rPr>
        <w:t>связи с чем принятие дополнительных поручений не требуется</w:t>
      </w:r>
      <w:r>
        <w:rPr>
          <w:sz w:val="28"/>
        </w:rPr>
        <w:t>.</w:t>
      </w: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Заведующий сектором </w:t>
      </w:r>
      <w:r>
        <w:rPr>
          <w:sz w:val="28"/>
        </w:rPr>
        <w:t>экономики и финансов                                     М.Н. Билая</w:t>
      </w:r>
    </w:p>
    <w:p w14:paraId="29000000">
      <w:pPr>
        <w:ind/>
        <w:jc w:val="both"/>
        <w:rPr>
          <w:sz w:val="22"/>
        </w:rPr>
      </w:pPr>
    </w:p>
    <w:p w14:paraId="2A000000">
      <w:pPr>
        <w:ind/>
        <w:jc w:val="both"/>
        <w:rPr>
          <w:sz w:val="22"/>
        </w:rPr>
      </w:pPr>
    </w:p>
    <w:sectPr>
      <w:pgSz w:h="16838" w:orient="portrait" w:w="11906"/>
      <w:pgMar w:bottom="851" w:footer="709" w:gutter="0" w:header="709" w:left="153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</w:rPr>
  </w:style>
  <w:style w:styleId="Style_1_ch" w:type="character">
    <w:name w:val="ConsPlusNonformat"/>
    <w:link w:val="Style_1"/>
    <w:rPr>
      <w:rFonts w:ascii="Courier New" w:hAnsi="Courier New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2" w:type="paragraph">
    <w:name w:val="Font Style11"/>
    <w:link w:val="Style_2_ch"/>
    <w:rPr>
      <w:rFonts w:ascii="Times New Roman" w:hAnsi="Times New Roman"/>
      <w:sz w:val="26"/>
    </w:rPr>
  </w:style>
  <w:style w:styleId="Style_2_ch" w:type="character">
    <w:name w:val="Font Style11"/>
    <w:link w:val="Style_2"/>
    <w:rPr>
      <w:rFonts w:ascii="Times New Roman" w:hAnsi="Times New Roman"/>
      <w:sz w:val="26"/>
    </w:rPr>
  </w:style>
  <w:style w:styleId="Style_9" w:type="paragraph">
    <w:name w:val="ConsPlusCell"/>
    <w:link w:val="Style_9_ch"/>
    <w:pPr>
      <w:widowControl w:val="0"/>
      <w:ind/>
    </w:pPr>
    <w:rPr>
      <w:rFonts w:ascii="Calibri" w:hAnsi="Calibri"/>
      <w:sz w:val="22"/>
    </w:rPr>
  </w:style>
  <w:style w:styleId="Style_9_ch" w:type="character">
    <w:name w:val="ConsPlusCell"/>
    <w:link w:val="Style_9"/>
    <w:rPr>
      <w:rFonts w:ascii="Calibri" w:hAnsi="Calibri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4"/>
    <w:link w:val="Style_11_ch"/>
    <w:pPr>
      <w:spacing w:afterAutospacing="on" w:beforeAutospacing="on"/>
      <w:ind/>
    </w:pPr>
  </w:style>
  <w:style w:styleId="Style_11_ch" w:type="character">
    <w:name w:val="Normal (Web)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No Spacing"/>
    <w:link w:val="Style_13_ch"/>
    <w:rPr>
      <w:rFonts w:ascii="Calibri" w:hAnsi="Calibri"/>
      <w:sz w:val="22"/>
    </w:rPr>
  </w:style>
  <w:style w:styleId="Style_13_ch" w:type="character">
    <w:name w:val="No Spacing"/>
    <w:link w:val="Style_13"/>
    <w:rPr>
      <w:rFonts w:ascii="Calibri" w:hAnsi="Calibri"/>
      <w:sz w:val="22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Balloon Text"/>
    <w:basedOn w:val="Style_4"/>
    <w:link w:val="Style_21_ch"/>
    <w:rPr>
      <w:rFonts w:ascii="Segoe UI" w:hAnsi="Segoe UI"/>
      <w:sz w:val="18"/>
    </w:rPr>
  </w:style>
  <w:style w:styleId="Style_21_ch" w:type="character">
    <w:name w:val="Balloon Text"/>
    <w:basedOn w:val="Style_4_ch"/>
    <w:link w:val="Style_21"/>
    <w:rPr>
      <w:rFonts w:ascii="Segoe UI" w:hAnsi="Segoe UI"/>
      <w:sz w:val="1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Выделение жирным"/>
    <w:link w:val="Style_23_ch"/>
    <w:rPr>
      <w:b w:val="1"/>
    </w:rPr>
  </w:style>
  <w:style w:styleId="Style_23_ch" w:type="character">
    <w:name w:val="Выделение жирным"/>
    <w:link w:val="Style_23"/>
    <w:rPr>
      <w:b w:val="1"/>
    </w:rPr>
  </w:style>
  <w:style w:styleId="Style_24" w:type="paragraph">
    <w:name w:val="toc 5"/>
    <w:next w:val="Style_4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2023-07-06T13:23:38Z</dcterms:modified>
</cp:coreProperties>
</file>