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F000000">
      <w:pPr>
        <w:ind/>
        <w:jc w:val="center"/>
        <w:rPr>
          <w:b w:val="1"/>
          <w:caps w:val="1"/>
          <w:sz w:val="28"/>
        </w:rPr>
      </w:pPr>
    </w:p>
    <w:tbl>
      <w:tblPr>
        <w:tblStyle w:val="Style_3"/>
        <w:tblLayout w:type="fixed"/>
        <w:tblCellMar>
          <w:left w:type="dxa" w:w="70"/>
          <w:right w:type="dxa" w:w="70"/>
        </w:tblCellMar>
      </w:tblPr>
      <w:tblGrid>
        <w:gridCol w:w="3354"/>
        <w:gridCol w:w="3354"/>
        <w:gridCol w:w="3354"/>
      </w:tblGrid>
      <w:tr>
        <w:tc>
          <w:tcPr>
            <w:tcW w:type="dxa" w:w="3354"/>
            <w:tcMar>
              <w:left w:type="dxa" w:w="70"/>
              <w:right w:type="dxa" w:w="70"/>
            </w:tcMar>
          </w:tcPr>
          <w:p w14:paraId="10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02.06.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11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х.Кринично-Лугский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№ 72</w:t>
            </w:r>
          </w:p>
        </w:tc>
      </w:tr>
    </w:tbl>
    <w:p w14:paraId="13000000">
      <w:pPr>
        <w:rPr>
          <w:sz w:val="28"/>
        </w:rPr>
      </w:pPr>
    </w:p>
    <w:p w14:paraId="14000000">
      <w:pPr>
        <w:spacing w:line="322" w:lineRule="exact"/>
        <w:ind w:firstLine="686" w:left="14"/>
        <w:jc w:val="center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в</w:t>
      </w:r>
      <w:r>
        <w:rPr>
          <w:sz w:val="28"/>
        </w:rPr>
        <w:t>несении измен</w:t>
      </w:r>
      <w:r>
        <w:rPr>
          <w:sz w:val="28"/>
        </w:rPr>
        <w:t>ен</w:t>
      </w:r>
      <w:r>
        <w:rPr>
          <w:sz w:val="28"/>
        </w:rPr>
        <w:t>ий в постановление от</w:t>
      </w:r>
      <w:r>
        <w:rPr>
          <w:sz w:val="28"/>
        </w:rPr>
        <w:t xml:space="preserve"> </w:t>
      </w:r>
      <w:r>
        <w:rPr>
          <w:sz w:val="28"/>
        </w:rPr>
        <w:t>02.11.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№ 118</w:t>
      </w:r>
      <w:r>
        <w:rPr>
          <w:sz w:val="28"/>
        </w:rPr>
        <w:t xml:space="preserve"> «</w:t>
      </w:r>
      <w:r>
        <w:rPr>
          <w:sz w:val="28"/>
        </w:rPr>
        <w:t>О порядке применения бюджетной классификации</w:t>
      </w:r>
      <w:r>
        <w:rPr>
          <w:sz w:val="28"/>
        </w:rPr>
        <w:t xml:space="preserve"> </w:t>
      </w:r>
      <w:r>
        <w:rPr>
          <w:sz w:val="28"/>
        </w:rPr>
        <w:t>бюджета Кринично-Лугского сельского поселения Куйбышевского района на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 xml:space="preserve"> и плановый период 20</w:t>
      </w:r>
      <w:r>
        <w:rPr>
          <w:sz w:val="28"/>
        </w:rPr>
        <w:t>24</w:t>
      </w:r>
      <w:r>
        <w:rPr>
          <w:sz w:val="28"/>
        </w:rPr>
        <w:t xml:space="preserve"> и 20</w:t>
      </w:r>
      <w:r>
        <w:rPr>
          <w:sz w:val="28"/>
        </w:rPr>
        <w:t>25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15000000">
      <w:pPr>
        <w:ind/>
        <w:jc w:val="both"/>
        <w:rPr>
          <w:b w:val="1"/>
          <w:sz w:val="28"/>
        </w:rPr>
      </w:pPr>
    </w:p>
    <w:p w14:paraId="16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  <w:r>
        <w:rPr>
          <w:sz w:val="28"/>
        </w:rPr>
        <w:t xml:space="preserve">В соответствии с положениями главы 4 Бюджетного кодекса Российской Федерации 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>ПОСТАНОВЛЯЮ:</w:t>
      </w:r>
    </w:p>
    <w:p w14:paraId="17000000">
      <w:pPr>
        <w:ind w:firstLine="0" w:left="72"/>
        <w:rPr>
          <w:color w:val="000000"/>
          <w:spacing w:val="-1"/>
          <w:sz w:val="28"/>
        </w:rPr>
      </w:pPr>
    </w:p>
    <w:p w14:paraId="18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Кринично-Лугского сельского поселения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02.11.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№ 118</w:t>
      </w:r>
      <w:r>
        <w:rPr>
          <w:sz w:val="28"/>
        </w:rPr>
        <w:t xml:space="preserve"> «</w:t>
      </w:r>
      <w:r>
        <w:rPr>
          <w:sz w:val="28"/>
        </w:rPr>
        <w:t>О порядке применения бюджетной классификации</w:t>
      </w:r>
      <w:r>
        <w:rPr>
          <w:sz w:val="28"/>
        </w:rPr>
        <w:t xml:space="preserve"> </w:t>
      </w:r>
      <w:r>
        <w:rPr>
          <w:sz w:val="28"/>
        </w:rPr>
        <w:t>бюджета Кринично-Лугского сельского поселения Куйбышевского района на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 xml:space="preserve"> и плановый период 20</w:t>
      </w:r>
      <w:r>
        <w:rPr>
          <w:sz w:val="28"/>
        </w:rPr>
        <w:t>24</w:t>
      </w:r>
      <w:r>
        <w:rPr>
          <w:sz w:val="28"/>
        </w:rPr>
        <w:t xml:space="preserve"> и 20</w:t>
      </w:r>
      <w:r>
        <w:rPr>
          <w:sz w:val="28"/>
        </w:rPr>
        <w:t>25</w:t>
      </w:r>
      <w:r>
        <w:rPr>
          <w:sz w:val="28"/>
        </w:rPr>
        <w:t xml:space="preserve"> годов» </w:t>
      </w:r>
      <w:r>
        <w:rPr>
          <w:sz w:val="28"/>
        </w:rPr>
        <w:t>изменения согласно приложению.</w:t>
      </w:r>
    </w:p>
    <w:p w14:paraId="19000000">
      <w:pPr>
        <w:ind w:firstLine="72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Заведующему сектором экономики и финансов Администрации Кринично-Лугского сельского поселения (Билой М.Н.) обеспечить исполнение настоящего постановления. 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Настоящее постановление вступает в силу с момента подписания.</w:t>
      </w:r>
    </w:p>
    <w:p w14:paraId="1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. Контроль за выполнением постановления оставляю за собой.</w:t>
      </w:r>
    </w:p>
    <w:p w14:paraId="1C000000">
      <w:pPr>
        <w:rPr>
          <w:sz w:val="28"/>
        </w:rPr>
      </w:pPr>
      <w:r>
        <w:rPr>
          <w:sz w:val="28"/>
        </w:rPr>
        <w:tab/>
      </w:r>
    </w:p>
    <w:p w14:paraId="1D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E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Р.А. Юнда </w:t>
      </w:r>
    </w:p>
    <w:p w14:paraId="1F000000">
      <w:pPr>
        <w:rPr>
          <w:sz w:val="20"/>
        </w:rPr>
      </w:pPr>
    </w:p>
    <w:p w14:paraId="20000000">
      <w:pPr>
        <w:rPr>
          <w:sz w:val="20"/>
        </w:rPr>
      </w:pPr>
    </w:p>
    <w:p w14:paraId="21000000">
      <w:r>
        <w:t>Постановление вносит</w:t>
      </w:r>
      <w:r>
        <w:t>:</w:t>
      </w:r>
      <w:r>
        <w:t xml:space="preserve"> сектор экономики и финансов</w:t>
      </w:r>
      <w:r>
        <w:t xml:space="preserve"> </w:t>
      </w:r>
    </w:p>
    <w:p w14:paraId="22000000"/>
    <w:p w14:paraId="23000000"/>
    <w:p w14:paraId="24000000"/>
    <w:p w14:paraId="25000000"/>
    <w:p w14:paraId="26000000"/>
    <w:p w14:paraId="27000000"/>
    <w:p w14:paraId="28000000"/>
    <w:p w14:paraId="29000000"/>
    <w:p w14:paraId="2A000000"/>
    <w:p w14:paraId="2B000000"/>
    <w:p w14:paraId="2C000000"/>
    <w:tbl>
      <w:tblPr>
        <w:tblStyle w:val="Style_3"/>
        <w:tblLayout w:type="fixed"/>
      </w:tblPr>
      <w:tblGrid>
        <w:gridCol w:w="4219"/>
        <w:gridCol w:w="5670"/>
      </w:tblGrid>
      <w:tr>
        <w:tc>
          <w:tcPr>
            <w:tcW w:type="dxa" w:w="4219"/>
            <w:shd w:fill="auto" w:val="clear"/>
          </w:tcPr>
          <w:p w14:paraId="2D000000">
            <w:pPr>
              <w:ind/>
              <w:jc w:val="right"/>
            </w:pPr>
          </w:p>
        </w:tc>
        <w:tc>
          <w:tcPr>
            <w:tcW w:type="dxa" w:w="5670"/>
            <w:shd w:fill="auto" w:val="clear"/>
          </w:tcPr>
          <w:p w14:paraId="2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2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14:paraId="3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Кринично-Лугского сельского поселения  </w:t>
            </w:r>
          </w:p>
          <w:p w14:paraId="31000000">
            <w:pPr>
              <w:ind/>
              <w:jc w:val="right"/>
              <w:rPr>
                <w:highlight w:val="yellow"/>
              </w:rPr>
            </w:pPr>
            <w:r>
              <w:rPr>
                <w:sz w:val="28"/>
              </w:rPr>
              <w:t>от  02.06.2023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№ 72</w:t>
            </w:r>
          </w:p>
        </w:tc>
      </w:tr>
    </w:tbl>
    <w:p w14:paraId="32000000">
      <w:pPr>
        <w:ind/>
        <w:jc w:val="right"/>
      </w:pPr>
    </w:p>
    <w:p w14:paraId="33000000">
      <w:pPr>
        <w:ind/>
        <w:jc w:val="right"/>
      </w:pPr>
    </w:p>
    <w:p w14:paraId="34000000">
      <w:pPr>
        <w:spacing w:line="322" w:lineRule="exact"/>
        <w:ind w:firstLine="686" w:left="14"/>
        <w:jc w:val="center"/>
        <w:rPr>
          <w:sz w:val="28"/>
        </w:rPr>
      </w:pPr>
      <w:r>
        <w:rPr>
          <w:sz w:val="28"/>
        </w:rPr>
        <w:t xml:space="preserve">ИЗМЕНЕНИЯ, </w:t>
      </w:r>
    </w:p>
    <w:p w14:paraId="35000000">
      <w:pPr>
        <w:spacing w:line="322" w:lineRule="exact"/>
        <w:ind w:firstLine="686" w:left="14"/>
        <w:jc w:val="center"/>
        <w:rPr>
          <w:sz w:val="28"/>
        </w:rPr>
      </w:pPr>
      <w:r>
        <w:rPr>
          <w:sz w:val="28"/>
        </w:rPr>
        <w:t>вносимые в постановление Администрации Кринично-Лугского сельского поселения от 02.11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года № 118</w:t>
      </w:r>
      <w:r>
        <w:rPr>
          <w:sz w:val="28"/>
        </w:rPr>
        <w:t xml:space="preserve"> «О порядке применения бюджетной классификации бюджета Кринично-Лугского сельского поселения Куйбышевского района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2024</w:t>
      </w:r>
      <w:r>
        <w:rPr>
          <w:sz w:val="28"/>
        </w:rPr>
        <w:t xml:space="preserve"> и 2025</w:t>
      </w:r>
      <w:r>
        <w:rPr>
          <w:sz w:val="28"/>
        </w:rPr>
        <w:t xml:space="preserve"> годов»</w:t>
      </w:r>
    </w:p>
    <w:p w14:paraId="36000000">
      <w:pPr>
        <w:ind/>
        <w:jc w:val="right"/>
      </w:pPr>
    </w:p>
    <w:p w14:paraId="37000000">
      <w:pPr>
        <w:pStyle w:val="Style_4"/>
        <w:numPr>
          <w:ilvl w:val="0"/>
          <w:numId w:val="1"/>
        </w:num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№ 1 к Положению о порядке </w:t>
      </w:r>
      <w:r>
        <w:rPr>
          <w:rFonts w:ascii="Times New Roman" w:hAnsi="Times New Roman"/>
          <w:sz w:val="28"/>
        </w:rPr>
        <w:t>в 1.13 после наименования и текста направления расходов «</w:t>
      </w:r>
      <w:r>
        <w:rPr>
          <w:sz w:val="28"/>
        </w:rPr>
        <w:t xml:space="preserve">99 </w:t>
      </w:r>
      <w:r>
        <w:rPr>
          <w:sz w:val="28"/>
        </w:rPr>
        <w:t>1</w:t>
      </w:r>
      <w:r>
        <w:rPr>
          <w:sz w:val="28"/>
        </w:rPr>
        <w:t xml:space="preserve"> 00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>0000</w:t>
      </w:r>
      <w:r>
        <w:rPr>
          <w:rFonts w:ascii="Times New Roman" w:hAnsi="Times New Roman"/>
          <w:sz w:val="28"/>
        </w:rPr>
        <w:t>» дополнить абзацами</w:t>
      </w:r>
      <w:r>
        <w:rPr>
          <w:rFonts w:ascii="Times New Roman" w:hAnsi="Times New Roman"/>
          <w:sz w:val="28"/>
        </w:rPr>
        <w:t xml:space="preserve"> следующ</w:t>
      </w:r>
      <w:r>
        <w:rPr>
          <w:rFonts w:ascii="Times New Roman" w:hAnsi="Times New Roman"/>
          <w:sz w:val="28"/>
        </w:rPr>
        <w:t>его содержания</w:t>
      </w:r>
      <w:r>
        <w:rPr>
          <w:rFonts w:ascii="Times New Roman" w:hAnsi="Times New Roman"/>
          <w:sz w:val="28"/>
        </w:rPr>
        <w:t>:</w:t>
      </w:r>
    </w:p>
    <w:p w14:paraId="38000000">
      <w:pPr>
        <w:pStyle w:val="Style_5"/>
        <w:ind w:firstLine="709" w:left="0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99 1 00 00000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Финансовое обеспечение непредвиденных расходов</w:t>
      </w:r>
    </w:p>
    <w:p w14:paraId="39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</w:p>
    <w:p w14:paraId="3A000000">
      <w:pPr>
        <w:spacing w:after="105" w:before="105"/>
        <w:ind w:firstLine="649" w:left="60" w:right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S4220 - </w:t>
      </w:r>
      <w:r>
        <w:rPr>
          <w:rFonts w:ascii="Times New Roman" w:hAnsi="Times New Roman"/>
          <w:sz w:val="28"/>
        </w:rPr>
        <w:t xml:space="preserve">Софинансирование субсидии за счет средств резервного фонда Правительства Ростовской области </w:t>
      </w:r>
    </w:p>
    <w:p w14:paraId="3B000000">
      <w:pPr>
        <w:spacing w:after="120" w:before="120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Поступление субсидий в местные бюджеты на указанные цели отражается по соответствующим элементам кода вида доходов 951 2 02 29999 10 0000 150 "</w:t>
      </w:r>
      <w:r>
        <w:rPr>
          <w:rFonts w:ascii="Times New Roman" w:hAnsi="Times New Roman"/>
          <w:b w:val="0"/>
          <w:sz w:val="28"/>
        </w:rPr>
        <w:t>Прочие субсидии бюджетам сельских поселений</w:t>
      </w:r>
      <w:r>
        <w:rPr>
          <w:rFonts w:ascii="Times New Roman" w:hAnsi="Times New Roman"/>
          <w:b w:val="0"/>
          <w:sz w:val="28"/>
        </w:rPr>
        <w:t>" классификации доходов бюджетов.</w:t>
      </w:r>
    </w:p>
    <w:p w14:paraId="3C000000">
      <w:pPr>
        <w:spacing w:after="120" w:before="120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 данному направлению расходов отражаются расходы местного бюджета, </w:t>
      </w:r>
      <w:r>
        <w:rPr>
          <w:rFonts w:ascii="Times New Roman" w:hAnsi="Times New Roman"/>
          <w:b w:val="0"/>
          <w:sz w:val="28"/>
        </w:rPr>
        <w:t>в целях софинансирования которых предоставляются субсидии за счет средств резервного фонда Правительства Ростовской области</w:t>
      </w:r>
      <w:r>
        <w:rPr>
          <w:rFonts w:ascii="Times New Roman" w:hAnsi="Times New Roman"/>
          <w:b w:val="0"/>
          <w:sz w:val="28"/>
        </w:rPr>
        <w:t>.</w:t>
      </w:r>
    </w:p>
    <w:p w14:paraId="3D000000">
      <w:pPr>
        <w:ind/>
        <w:outlineLvl w:val="4"/>
        <w:rPr>
          <w:sz w:val="28"/>
        </w:rPr>
      </w:pPr>
    </w:p>
    <w:p w14:paraId="3E000000">
      <w:pPr>
        <w:pStyle w:val="Style_4"/>
        <w:numPr>
          <w:ilvl w:val="0"/>
          <w:numId w:val="1"/>
        </w:numPr>
        <w:tabs>
          <w:tab w:leader="none" w:pos="0" w:val="left"/>
          <w:tab w:leader="none" w:pos="1774" w:val="clear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№ 2 к Положению о порядке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таблице </w:t>
      </w:r>
      <w:r>
        <w:rPr>
          <w:rFonts w:ascii="Times New Roman" w:hAnsi="Times New Roman"/>
          <w:sz w:val="28"/>
        </w:rPr>
        <w:t xml:space="preserve">после </w:t>
      </w:r>
      <w:r>
        <w:rPr>
          <w:rFonts w:ascii="Times New Roman" w:hAnsi="Times New Roman"/>
          <w:sz w:val="28"/>
        </w:rPr>
        <w:t xml:space="preserve">текста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 xml:space="preserve">99 </w:t>
      </w:r>
      <w:r>
        <w:rPr>
          <w:sz w:val="28"/>
        </w:rPr>
        <w:t>1</w:t>
      </w:r>
      <w:r>
        <w:rPr>
          <w:sz w:val="28"/>
        </w:rPr>
        <w:t xml:space="preserve"> 00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>0000</w:t>
      </w:r>
      <w:r>
        <w:rPr>
          <w:rFonts w:ascii="Times New Roman" w:hAnsi="Times New Roman"/>
          <w:sz w:val="28"/>
        </w:rPr>
        <w:t>»дополнить строк</w:t>
      </w:r>
      <w:r>
        <w:rPr>
          <w:rFonts w:ascii="Times New Roman" w:hAnsi="Times New Roman"/>
          <w:sz w:val="28"/>
        </w:rPr>
        <w:t xml:space="preserve">ами </w:t>
      </w:r>
      <w:r>
        <w:rPr>
          <w:rFonts w:ascii="Times New Roman" w:hAnsi="Times New Roman"/>
          <w:sz w:val="28"/>
        </w:rPr>
        <w:t xml:space="preserve">нового содержания:  </w:t>
      </w:r>
    </w:p>
    <w:p w14:paraId="3F000000">
      <w:pPr>
        <w:pStyle w:val="Style_4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3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95"/>
        <w:gridCol w:w="7920"/>
      </w:tblGrid>
      <w:tr>
        <w:trPr>
          <w:trHeight w:hRule="atLeast" w:val="819"/>
        </w:trPr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1 00 S4220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105" w:before="105"/>
              <w:ind w:firstLine="649" w:left="60" w:right="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</w:t>
            </w:r>
            <w:r>
              <w:rPr>
                <w:sz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ных) нужд)</w:t>
            </w:r>
          </w:p>
        </w:tc>
      </w:tr>
    </w:tbl>
    <w:p w14:paraId="42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14:paraId="43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44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45000000">
      <w:pPr>
        <w:tabs>
          <w:tab w:leader="none" w:pos="525" w:val="left"/>
        </w:tabs>
        <w:ind/>
      </w:pPr>
    </w:p>
    <w:sectPr>
      <w:headerReference r:id="rId3" w:type="default"/>
      <w:footerReference r:id="rId4" w:type="default"/>
      <w:pgSz w:h="16838" w:orient="portrait" w:w="11906"/>
      <w:pgMar w:bottom="851" w:footer="709" w:gutter="0" w:header="709" w:left="1440" w:right="56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  <w:ind/>
      <w:jc w:val="right"/>
    </w:pPr>
  </w:p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774" w:val="left"/>
        </w:tabs>
        <w:ind w:hanging="1065" w:left="1774"/>
      </w:pPr>
    </w:lvl>
    <w:lvl w:ilvl="1">
      <w:start w:val="1"/>
      <w:numFmt w:val="decimal"/>
      <w:lvlText w:val="%1.%2."/>
      <w:lvlJc w:val="left"/>
      <w:pPr>
        <w:tabs>
          <w:tab w:leader="none" w:pos="1429" w:val="left"/>
        </w:tabs>
        <w:ind w:hanging="720" w:left="1429"/>
      </w:pPr>
    </w:lvl>
    <w:lvl w:ilvl="2">
      <w:start w:val="1"/>
      <w:numFmt w:val="decimal"/>
      <w:lvlText w:val="%1.%2.%3."/>
      <w:lvlJc w:val="left"/>
      <w:pPr>
        <w:tabs>
          <w:tab w:leader="none" w:pos="1429" w:val="left"/>
        </w:tabs>
        <w:ind w:hanging="720" w:left="1429"/>
      </w:pPr>
    </w:lvl>
    <w:lvl w:ilvl="3">
      <w:start w:val="1"/>
      <w:numFmt w:val="decimal"/>
      <w:lvlText w:val="%1.%2.%3.%4."/>
      <w:lvlJc w:val="left"/>
      <w:pPr>
        <w:tabs>
          <w:tab w:leader="none" w:pos="1789" w:val="left"/>
        </w:tabs>
        <w:ind w:hanging="1080" w:left="1789"/>
      </w:pPr>
    </w:lvl>
    <w:lvl w:ilvl="4">
      <w:start w:val="1"/>
      <w:numFmt w:val="decimal"/>
      <w:lvlText w:val="%1.%2.%3.%4.%5."/>
      <w:lvlJc w:val="left"/>
      <w:pPr>
        <w:tabs>
          <w:tab w:leader="none" w:pos="1789" w:val="left"/>
        </w:tabs>
        <w:ind w:hanging="1080" w:left="1789"/>
      </w:pPr>
    </w:lvl>
    <w:lvl w:ilvl="5">
      <w:start w:val="1"/>
      <w:numFmt w:val="decimal"/>
      <w:lvlText w:val="%1.%2.%3.%4.%5.%6."/>
      <w:lvlJc w:val="left"/>
      <w:pPr>
        <w:tabs>
          <w:tab w:leader="none" w:pos="2149" w:val="left"/>
        </w:tabs>
        <w:ind w:hanging="1440" w:left="2149"/>
      </w:pPr>
    </w:lvl>
    <w:lvl w:ilvl="6">
      <w:start w:val="1"/>
      <w:numFmt w:val="decimal"/>
      <w:lvlText w:val="%1.%2.%3.%4.%5.%6.%7."/>
      <w:lvlJc w:val="left"/>
      <w:pPr>
        <w:tabs>
          <w:tab w:leader="none" w:pos="2509" w:val="left"/>
        </w:tabs>
        <w:ind w:hanging="1800" w:left="2509"/>
      </w:pPr>
    </w:lvl>
    <w:lvl w:ilvl="7">
      <w:start w:val="1"/>
      <w:numFmt w:val="decimal"/>
      <w:lvlText w:val="%1.%2.%3.%4.%5.%6.%7.%8."/>
      <w:lvlJc w:val="left"/>
      <w:pPr>
        <w:tabs>
          <w:tab w:leader="none" w:pos="2509" w:val="left"/>
        </w:tabs>
        <w:ind w:hanging="1800" w:left="2509"/>
      </w:pPr>
    </w:lvl>
    <w:lvl w:ilvl="8">
      <w:start w:val="1"/>
      <w:numFmt w:val="decimal"/>
      <w:lvlText w:val="%1.%2.%3.%4.%5.%6.%7.%8.%9."/>
      <w:lvlJc w:val="left"/>
      <w:pPr>
        <w:tabs>
          <w:tab w:leader="none" w:pos="2869" w:val="left"/>
        </w:tabs>
        <w:ind w:hanging="2160" w:left="286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Table Contents"/>
    <w:basedOn w:val="Style_7"/>
    <w:link w:val="Style_10_ch"/>
    <w:pPr>
      <w:widowControl w:val="0"/>
      <w:ind/>
    </w:pPr>
  </w:style>
  <w:style w:styleId="Style_10_ch" w:type="character">
    <w:name w:val="Table Contents"/>
    <w:basedOn w:val="Style_7_ch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  <w:sz w:val="24"/>
    </w:rPr>
  </w:style>
  <w:style w:styleId="Style_5_ch" w:type="character">
    <w:name w:val="ConsPlusTitle"/>
    <w:link w:val="Style_5"/>
    <w:rPr>
      <w:rFonts w:ascii="Arial" w:hAnsi="Arial"/>
      <w:b w:val="1"/>
      <w:sz w:val="24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5" w:type="paragraph">
    <w:name w:val="Знак1"/>
    <w:basedOn w:val="Style_7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Знак1"/>
    <w:basedOn w:val="Style_7_ch"/>
    <w:link w:val="Style_15"/>
    <w:rPr>
      <w:rFonts w:ascii="Tahoma" w:hAnsi="Tahoma"/>
      <w:sz w:val="20"/>
    </w:rPr>
  </w:style>
  <w:style w:styleId="Style_16" w:type="paragraph">
    <w:name w:val="apple-converted-space"/>
    <w:basedOn w:val="Style_17"/>
    <w:link w:val="Style_16_ch"/>
  </w:style>
  <w:style w:styleId="Style_16_ch" w:type="character">
    <w:name w:val="apple-converted-space"/>
    <w:basedOn w:val="Style_17_ch"/>
    <w:link w:val="Style_16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21" w:type="paragraph">
    <w:name w:val=" Знак Знак3 Знак Знак Знак Знак"/>
    <w:basedOn w:val="Style_7"/>
    <w:link w:val="Style_2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1_ch" w:type="character">
    <w:name w:val=" Знак Знак3 Знак Знак Знак Знак"/>
    <w:basedOn w:val="Style_7_ch"/>
    <w:link w:val="Style_21"/>
    <w:rPr>
      <w:rFonts w:ascii="Verdana" w:hAnsi="Verdana"/>
      <w:sz w:val="20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ind/>
      <w:outlineLvl w:val="0"/>
    </w:pPr>
    <w:rPr>
      <w:sz w:val="28"/>
    </w:rPr>
  </w:style>
  <w:style w:styleId="Style_23_ch" w:type="character">
    <w:name w:val="heading 1"/>
    <w:basedOn w:val="Style_7_ch"/>
    <w:link w:val="Style_23"/>
    <w:rPr>
      <w:sz w:val="28"/>
    </w:rPr>
  </w:style>
  <w:style w:styleId="Style_24" w:type="paragraph">
    <w:name w:val="Body Text 2"/>
    <w:basedOn w:val="Style_7"/>
    <w:link w:val="Style_24_ch"/>
    <w:pPr>
      <w:spacing w:after="120" w:line="480" w:lineRule="auto"/>
      <w:ind/>
    </w:pPr>
  </w:style>
  <w:style w:styleId="Style_24_ch" w:type="character">
    <w:name w:val="Body Text 2"/>
    <w:basedOn w:val="Style_7_ch"/>
    <w:link w:val="Style_24"/>
  </w:style>
  <w:style w:styleId="Style_25" w:type="paragraph">
    <w:name w:val="line number"/>
    <w:link w:val="Style_25_ch"/>
  </w:style>
  <w:style w:styleId="Style_25_ch" w:type="character">
    <w:name w:val="line number"/>
    <w:link w:val="Style_25"/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Body Text Indent"/>
    <w:basedOn w:val="Style_7"/>
    <w:link w:val="Style_28_ch"/>
    <w:pPr>
      <w:ind w:firstLine="900" w:left="0"/>
      <w:jc w:val="both"/>
    </w:pPr>
    <w:rPr>
      <w:sz w:val="28"/>
    </w:rPr>
  </w:style>
  <w:style w:styleId="Style_28_ch" w:type="character">
    <w:name w:val="Body Text Indent"/>
    <w:basedOn w:val="Style_7_ch"/>
    <w:link w:val="Style_28"/>
    <w:rPr>
      <w:sz w:val="28"/>
    </w:rPr>
  </w:style>
  <w:style w:styleId="Style_29" w:type="paragraph">
    <w:name w:val="toc 1"/>
    <w:next w:val="Style_7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 Знак Знак3 Знак Знак"/>
    <w:basedOn w:val="Style_7"/>
    <w:link w:val="Style_3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2_ch" w:type="character">
    <w:name w:val=" Знак Знак3 Знак Знак"/>
    <w:basedOn w:val="Style_7_ch"/>
    <w:link w:val="Style_32"/>
    <w:rPr>
      <w:rFonts w:ascii="Verdana" w:hAnsi="Verdana"/>
      <w:sz w:val="20"/>
    </w:rPr>
  </w:style>
  <w:style w:styleId="Style_33" w:type="paragraph">
    <w:name w:val="ConsPlusCell"/>
    <w:link w:val="Style_33_ch"/>
    <w:pPr>
      <w:widowControl w:val="0"/>
      <w:ind/>
    </w:pPr>
    <w:rPr>
      <w:sz w:val="28"/>
    </w:rPr>
  </w:style>
  <w:style w:styleId="Style_33_ch" w:type="character">
    <w:name w:val="ConsPlusCell"/>
    <w:link w:val="Style_33"/>
    <w:rPr>
      <w:sz w:val="28"/>
    </w:rPr>
  </w:style>
  <w:style w:styleId="Style_34" w:type="paragraph">
    <w:name w:val="toc 8"/>
    <w:next w:val="Style_7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Strong"/>
    <w:link w:val="Style_35_ch"/>
    <w:rPr>
      <w:b w:val="1"/>
    </w:rPr>
  </w:style>
  <w:style w:styleId="Style_35_ch" w:type="character">
    <w:name w:val="Strong"/>
    <w:link w:val="Style_35"/>
    <w:rPr>
      <w:b w:val="1"/>
    </w:rPr>
  </w:style>
  <w:style w:styleId="Style_36" w:type="paragraph">
    <w:name w:val="Основной текст 22"/>
    <w:basedOn w:val="Style_7"/>
    <w:link w:val="Style_36_ch"/>
    <w:pPr>
      <w:ind/>
      <w:jc w:val="both"/>
    </w:pPr>
    <w:rPr>
      <w:sz w:val="28"/>
    </w:rPr>
  </w:style>
  <w:style w:styleId="Style_36_ch" w:type="character">
    <w:name w:val="Основной текст 22"/>
    <w:basedOn w:val="Style_7_ch"/>
    <w:link w:val="Style_36"/>
    <w:rPr>
      <w:sz w:val="28"/>
    </w:rPr>
  </w:style>
  <w:style w:styleId="Style_37" w:type="paragraph">
    <w:name w:val="page number"/>
    <w:basedOn w:val="Style_17"/>
    <w:link w:val="Style_37_ch"/>
  </w:style>
  <w:style w:styleId="Style_37_ch" w:type="character">
    <w:name w:val="page number"/>
    <w:basedOn w:val="Style_17_ch"/>
    <w:link w:val="Style_37"/>
  </w:style>
  <w:style w:styleId="Style_38" w:type="paragraph">
    <w:name w:val="toc 5"/>
    <w:next w:val="Style_7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Con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Normal"/>
    <w:link w:val="Style_39"/>
    <w:rPr>
      <w:rFonts w:ascii="Arial" w:hAnsi="Arial"/>
    </w:rPr>
  </w:style>
  <w:style w:styleId="Style_17" w:type="paragraph">
    <w:name w:val=" Знак"/>
    <w:basedOn w:val="Style_7"/>
    <w:link w:val="Style_1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7_ch" w:type="character">
    <w:name w:val=" Знак"/>
    <w:basedOn w:val="Style_7_ch"/>
    <w:link w:val="Style_17"/>
    <w:rPr>
      <w:rFonts w:ascii="Verdana" w:hAnsi="Verdana"/>
      <w:sz w:val="20"/>
    </w:rPr>
  </w:style>
  <w:style w:styleId="Style_40" w:type="paragraph">
    <w:name w:val="List Paragraph"/>
    <w:basedOn w:val="Style_7"/>
    <w:link w:val="Style_40_ch"/>
    <w:pPr>
      <w:ind w:firstLine="0" w:left="720"/>
      <w:contextualSpacing w:val="1"/>
    </w:pPr>
  </w:style>
  <w:style w:styleId="Style_40_ch" w:type="character">
    <w:name w:val="List Paragraph"/>
    <w:basedOn w:val="Style_7_ch"/>
    <w:link w:val="Style_40"/>
  </w:style>
  <w:style w:styleId="Style_41" w:type="paragraph">
    <w:name w:val="Balloon Text"/>
    <w:basedOn w:val="Style_7"/>
    <w:link w:val="Style_41_ch"/>
    <w:rPr>
      <w:rFonts w:ascii="Tahoma" w:hAnsi="Tahoma"/>
      <w:sz w:val="16"/>
    </w:rPr>
  </w:style>
  <w:style w:styleId="Style_41_ch" w:type="character">
    <w:name w:val="Balloon Text"/>
    <w:basedOn w:val="Style_7_ch"/>
    <w:link w:val="Style_41"/>
    <w:rPr>
      <w:rFonts w:ascii="Tahoma" w:hAnsi="Tahoma"/>
      <w:sz w:val="16"/>
    </w:rPr>
  </w:style>
  <w:style w:styleId="Style_42" w:type="paragraph">
    <w:name w:val="Subtitle"/>
    <w:next w:val="Style_7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7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7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next w:val="Style_7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4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2023-06-02T06:23:13Z</dcterms:modified>
</cp:coreProperties>
</file>