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4000000">
      <w:pPr>
        <w:ind/>
        <w:jc w:val="center"/>
        <w:rPr>
          <w:sz w:val="28"/>
        </w:rPr>
      </w:pPr>
      <w:r>
        <w:rPr>
          <w:sz w:val="28"/>
        </w:rPr>
        <w:t>РОССИЙСКАЯ ФЕДЕРАЦИЯ</w:t>
      </w:r>
    </w:p>
    <w:p w14:paraId="05000000">
      <w:pPr>
        <w:ind/>
        <w:jc w:val="center"/>
        <w:rPr>
          <w:sz w:val="28"/>
        </w:rPr>
      </w:pPr>
      <w:r>
        <w:rPr>
          <w:sz w:val="28"/>
        </w:rPr>
        <w:t xml:space="preserve">РОСТОВСКАЯ ОБЛАСТЬ </w:t>
      </w:r>
    </w:p>
    <w:p w14:paraId="06000000">
      <w:pPr>
        <w:ind/>
        <w:jc w:val="center"/>
        <w:rPr>
          <w:sz w:val="28"/>
        </w:rPr>
      </w:pPr>
      <w:r>
        <w:rPr>
          <w:sz w:val="28"/>
        </w:rPr>
        <w:t>КУЙБЫШЕВСКИЙ РАЙОН</w:t>
      </w:r>
    </w:p>
    <w:p w14:paraId="07000000">
      <w:pPr>
        <w:ind/>
        <w:jc w:val="center"/>
        <w:rPr>
          <w:sz w:val="28"/>
        </w:rPr>
      </w:pPr>
      <w:r>
        <w:rPr>
          <w:sz w:val="28"/>
        </w:rPr>
        <w:t>МУНИЦИПАЛЬНОЕ ОБРАЗОВАНИЕ</w:t>
      </w:r>
    </w:p>
    <w:p w14:paraId="08000000">
      <w:pPr>
        <w:ind/>
        <w:jc w:val="center"/>
        <w:rPr>
          <w:sz w:val="28"/>
        </w:rPr>
      </w:pPr>
      <w:r>
        <w:rPr>
          <w:sz w:val="28"/>
        </w:rPr>
        <w:t xml:space="preserve"> «КРИНИЧНО-ЛУГСКОЕ СЕЛЬСКОЕ ПОСЕЛЕНИЕ»</w:t>
      </w:r>
    </w:p>
    <w:p w14:paraId="09000000">
      <w:pPr>
        <w:ind/>
        <w:jc w:val="center"/>
        <w:rPr>
          <w:sz w:val="28"/>
        </w:rPr>
      </w:pPr>
    </w:p>
    <w:p w14:paraId="0A000000">
      <w:pPr>
        <w:rPr>
          <w:sz w:val="28"/>
        </w:rPr>
      </w:pPr>
      <w:r>
        <w:rPr>
          <w:sz w:val="28"/>
        </w:rPr>
        <w:t>АДМИНИСТРАЦИЯ КРИНИЧНО-ЛУГСКОГО СЕЛЬСКОГО ПОСЕЛЕНИЯ</w:t>
      </w:r>
    </w:p>
    <w:p w14:paraId="0B000000">
      <w:pPr>
        <w:ind/>
        <w:jc w:val="center"/>
        <w:rPr>
          <w:sz w:val="28"/>
        </w:rPr>
      </w:pPr>
    </w:p>
    <w:p w14:paraId="0C000000">
      <w:pPr>
        <w:ind/>
        <w:jc w:val="center"/>
        <w:rPr>
          <w:sz w:val="28"/>
        </w:rPr>
      </w:pPr>
      <w:r>
        <w:rPr>
          <w:sz w:val="28"/>
        </w:rPr>
        <w:t xml:space="preserve">ПОСТАНОВЛЕНИЕ                                </w:t>
      </w:r>
    </w:p>
    <w:p w14:paraId="0D000000">
      <w:pPr>
        <w:tabs>
          <w:tab w:leader="none" w:pos="6949" w:val="left"/>
        </w:tabs>
        <w:ind/>
        <w:rPr>
          <w:sz w:val="28"/>
        </w:rPr>
      </w:pPr>
    </w:p>
    <w:p w14:paraId="0E000000">
      <w:pPr>
        <w:tabs>
          <w:tab w:leader="none" w:pos="6949" w:val="left"/>
        </w:tabs>
        <w:ind/>
        <w:rPr>
          <w:sz w:val="28"/>
        </w:rPr>
      </w:pPr>
      <w:r>
        <w:rPr>
          <w:sz w:val="28"/>
        </w:rPr>
        <w:t xml:space="preserve">26.02.2025                              </w:t>
      </w:r>
      <w:r>
        <w:rPr>
          <w:sz w:val="28"/>
        </w:rPr>
        <w:t>х</w:t>
      </w:r>
      <w:r>
        <w:rPr>
          <w:sz w:val="28"/>
        </w:rPr>
        <w:t>.К</w:t>
      </w:r>
      <w:r>
        <w:rPr>
          <w:sz w:val="28"/>
        </w:rPr>
        <w:t>ринично-Лугский</w:t>
      </w:r>
      <w:r>
        <w:rPr>
          <w:sz w:val="28"/>
        </w:rPr>
        <w:t xml:space="preserve">                                    №  28                      </w:t>
      </w:r>
    </w:p>
    <w:p w14:paraId="0F000000">
      <w:pPr>
        <w:ind/>
        <w:jc w:val="center"/>
        <w:rPr>
          <w:b w:val="1"/>
          <w:spacing w:val="30"/>
          <w:sz w:val="28"/>
        </w:rPr>
      </w:pPr>
    </w:p>
    <w:p w14:paraId="10000000">
      <w:pPr>
        <w:ind w:firstLine="709" w:left="0"/>
        <w:jc w:val="center"/>
        <w:rPr>
          <w:sz w:val="28"/>
        </w:rPr>
      </w:pPr>
      <w:r>
        <w:rPr>
          <w:sz w:val="28"/>
        </w:rPr>
        <w:t xml:space="preserve">О внесении изменений в постановление Администрации от 20.09.2022 № 99 «Об утверждении бюджетного прогноза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на период 2023-2036 годов»</w:t>
      </w:r>
    </w:p>
    <w:p w14:paraId="11000000">
      <w:pPr>
        <w:ind w:firstLine="709" w:left="0"/>
        <w:jc w:val="both"/>
        <w:rPr>
          <w:b w:val="1"/>
          <w:sz w:val="28"/>
        </w:rPr>
      </w:pPr>
    </w:p>
    <w:p w14:paraId="12000000">
      <w:pPr>
        <w:ind w:firstLine="851" w:left="0" w:right="-2"/>
        <w:jc w:val="both"/>
        <w:rPr>
          <w:spacing w:val="-2"/>
          <w:sz w:val="28"/>
        </w:rPr>
      </w:pPr>
      <w:r>
        <w:rPr>
          <w:spacing w:val="-2"/>
          <w:sz w:val="28"/>
        </w:rPr>
        <w:t>В соответствии с постановлением Правительства Ростовской области от 29.08.2022 № 724 «Об утверждении бюджетного прогноза Ростовской области на период 2023-2036 годов» (в редакции 109 от 17.02.2025) ПОСТАНОВЛЯЮ:</w:t>
      </w:r>
    </w:p>
    <w:p w14:paraId="13000000">
      <w:pPr>
        <w:ind w:firstLine="709" w:left="0"/>
        <w:jc w:val="center"/>
        <w:rPr>
          <w:b w:val="1"/>
          <w:spacing w:val="-2"/>
          <w:sz w:val="28"/>
        </w:rPr>
      </w:pPr>
    </w:p>
    <w:p w14:paraId="14000000">
      <w:pPr>
        <w:tabs>
          <w:tab w:leader="none" w:pos="426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1. Внести изменения в постановление Администрации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от 20.09.2022 № 99 «Об утверждении бюджетного прогноза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на период 2023-2036 годов» изменение, изложив приложение к нему в редакции согласно приложению к настоящему постановлению.</w:t>
      </w:r>
    </w:p>
    <w:p w14:paraId="15000000">
      <w:pPr>
        <w:ind w:firstLine="900" w:left="0"/>
        <w:jc w:val="both"/>
        <w:rPr>
          <w:spacing w:val="-5"/>
          <w:sz w:val="28"/>
        </w:rPr>
      </w:pPr>
      <w:r>
        <w:rPr>
          <w:sz w:val="28"/>
        </w:rPr>
        <w:t>2. О</w:t>
      </w:r>
      <w:r>
        <w:rPr>
          <w:spacing w:val="-5"/>
          <w:sz w:val="28"/>
        </w:rPr>
        <w:t xml:space="preserve">публиковать настоящее постановление в информационном бюллетене </w:t>
      </w:r>
      <w:r>
        <w:rPr>
          <w:sz w:val="28"/>
        </w:rPr>
        <w:t>Кринично-Лугского</w:t>
      </w:r>
      <w:r>
        <w:rPr>
          <w:spacing w:val="-5"/>
          <w:sz w:val="28"/>
        </w:rPr>
        <w:t xml:space="preserve"> сельского поселения и разместить на  официальном сайте Администрации </w:t>
      </w:r>
      <w:r>
        <w:rPr>
          <w:sz w:val="28"/>
        </w:rPr>
        <w:t>Кринично-Лугского</w:t>
      </w:r>
      <w:r>
        <w:rPr>
          <w:spacing w:val="-5"/>
          <w:sz w:val="28"/>
        </w:rPr>
        <w:t xml:space="preserve"> сельского поселения в сети Интернет.</w:t>
      </w:r>
    </w:p>
    <w:p w14:paraId="16000000">
      <w:pPr>
        <w:pStyle w:val="Style_3"/>
        <w:ind w:firstLine="900" w:left="0"/>
        <w:jc w:val="both"/>
        <w:rPr>
          <w:sz w:val="28"/>
        </w:rPr>
      </w:pPr>
      <w:r>
        <w:rPr>
          <w:sz w:val="28"/>
        </w:rPr>
        <w:t>3. Настоящее постановление вступает в силу со дня его официального опубликования.</w:t>
      </w:r>
    </w:p>
    <w:p w14:paraId="17000000">
      <w:pPr>
        <w:ind w:firstLine="900" w:left="0"/>
        <w:jc w:val="both"/>
        <w:rPr>
          <w:spacing w:val="-2"/>
          <w:sz w:val="28"/>
        </w:rPr>
      </w:pPr>
      <w:r>
        <w:rPr>
          <w:spacing w:val="-2"/>
          <w:sz w:val="28"/>
        </w:rPr>
        <w:t xml:space="preserve">4. </w:t>
      </w:r>
      <w:r>
        <w:rPr>
          <w:spacing w:val="-2"/>
          <w:sz w:val="28"/>
        </w:rPr>
        <w:t>Контроль за</w:t>
      </w:r>
      <w:r>
        <w:rPr>
          <w:spacing w:val="-2"/>
          <w:sz w:val="28"/>
        </w:rPr>
        <w:t xml:space="preserve"> выполнением настоящего постановления возложить на заведующего сектором экономики и финансов Билую М.Н. </w:t>
      </w:r>
    </w:p>
    <w:p w14:paraId="18000000">
      <w:pPr>
        <w:ind/>
        <w:jc w:val="both"/>
        <w:rPr>
          <w:sz w:val="28"/>
        </w:rPr>
      </w:pPr>
    </w:p>
    <w:p w14:paraId="19000000">
      <w:pPr>
        <w:ind w:firstLine="709" w:left="0"/>
        <w:jc w:val="both"/>
        <w:rPr>
          <w:sz w:val="28"/>
        </w:rPr>
      </w:pPr>
      <w:r>
        <w:rPr>
          <w:sz w:val="28"/>
        </w:rPr>
        <w:t>Глава Администрации</w:t>
      </w:r>
    </w:p>
    <w:p w14:paraId="1A000000">
      <w:pPr>
        <w:ind w:firstLine="709" w:left="0"/>
        <w:jc w:val="both"/>
        <w:rPr>
          <w:sz w:val="28"/>
        </w:rPr>
      </w:pP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</w:t>
      </w:r>
      <w:r>
        <w:rPr>
          <w:sz w:val="28"/>
        </w:rPr>
        <w:tab/>
      </w:r>
      <w:r>
        <w:rPr>
          <w:sz w:val="28"/>
        </w:rPr>
        <w:t xml:space="preserve">                                 Р.А. </w:t>
      </w:r>
      <w:r>
        <w:rPr>
          <w:sz w:val="28"/>
        </w:rPr>
        <w:t>Юнда</w:t>
      </w:r>
      <w:r>
        <w:rPr>
          <w:sz w:val="28"/>
        </w:rPr>
        <w:t xml:space="preserve"> </w:t>
      </w:r>
    </w:p>
    <w:p w14:paraId="1B000000">
      <w:pPr>
        <w:ind w:firstLine="709" w:left="0"/>
        <w:jc w:val="both"/>
        <w:rPr>
          <w:sz w:val="28"/>
        </w:rPr>
      </w:pPr>
    </w:p>
    <w:p w14:paraId="1C000000">
      <w:pPr>
        <w:widowControl w:val="0"/>
        <w:ind/>
        <w:jc w:val="both"/>
        <w:rPr>
          <w:sz w:val="24"/>
        </w:rPr>
      </w:pPr>
      <w:r>
        <w:rPr>
          <w:sz w:val="24"/>
        </w:rPr>
        <w:t xml:space="preserve">Постановление вносит </w:t>
      </w:r>
    </w:p>
    <w:p w14:paraId="1D000000">
      <w:pPr>
        <w:widowControl w:val="0"/>
        <w:ind/>
        <w:jc w:val="both"/>
        <w:rPr>
          <w:sz w:val="24"/>
        </w:rPr>
      </w:pPr>
      <w:r>
        <w:rPr>
          <w:sz w:val="24"/>
        </w:rPr>
        <w:t>Сектор экономики и финансов</w:t>
      </w:r>
    </w:p>
    <w:p w14:paraId="1E000000">
      <w:pPr>
        <w:widowControl w:val="0"/>
        <w:ind/>
        <w:jc w:val="both"/>
        <w:rPr>
          <w:sz w:val="24"/>
        </w:rPr>
      </w:pPr>
    </w:p>
    <w:p w14:paraId="1F000000">
      <w:pPr>
        <w:widowControl w:val="0"/>
        <w:ind/>
        <w:jc w:val="both"/>
        <w:rPr>
          <w:sz w:val="24"/>
        </w:rPr>
      </w:pPr>
    </w:p>
    <w:p w14:paraId="20000000">
      <w:pPr>
        <w:widowControl w:val="0"/>
        <w:ind/>
        <w:jc w:val="both"/>
        <w:rPr>
          <w:sz w:val="24"/>
        </w:rPr>
      </w:pPr>
    </w:p>
    <w:p w14:paraId="21000000">
      <w:pPr>
        <w:widowControl w:val="0"/>
        <w:ind/>
        <w:jc w:val="both"/>
        <w:rPr>
          <w:sz w:val="24"/>
        </w:rPr>
      </w:pPr>
    </w:p>
    <w:p w14:paraId="22000000">
      <w:pPr>
        <w:widowControl w:val="0"/>
        <w:ind/>
        <w:jc w:val="both"/>
        <w:rPr>
          <w:sz w:val="24"/>
        </w:rPr>
      </w:pPr>
    </w:p>
    <w:p w14:paraId="23000000">
      <w:pPr>
        <w:widowControl w:val="0"/>
        <w:ind/>
        <w:jc w:val="both"/>
        <w:rPr>
          <w:sz w:val="24"/>
        </w:rPr>
      </w:pPr>
    </w:p>
    <w:p w14:paraId="24000000">
      <w:pPr>
        <w:widowControl w:val="0"/>
        <w:ind/>
        <w:jc w:val="both"/>
        <w:rPr>
          <w:sz w:val="24"/>
        </w:rPr>
      </w:pPr>
    </w:p>
    <w:p w14:paraId="25000000">
      <w:pPr>
        <w:widowControl w:val="0"/>
        <w:ind/>
        <w:jc w:val="both"/>
        <w:rPr>
          <w:sz w:val="24"/>
        </w:rPr>
      </w:pPr>
    </w:p>
    <w:p w14:paraId="26000000">
      <w:pPr>
        <w:widowControl w:val="0"/>
        <w:ind w:firstLine="0" w:left="4500"/>
        <w:jc w:val="right"/>
        <w:rPr>
          <w:sz w:val="28"/>
        </w:rPr>
      </w:pPr>
      <w:r>
        <w:rPr>
          <w:sz w:val="28"/>
        </w:rPr>
        <w:t xml:space="preserve">Приложение </w:t>
      </w:r>
    </w:p>
    <w:p w14:paraId="27000000">
      <w:pPr>
        <w:widowControl w:val="0"/>
        <w:ind w:firstLine="0" w:left="2836"/>
        <w:jc w:val="right"/>
        <w:rPr>
          <w:sz w:val="28"/>
        </w:rPr>
      </w:pPr>
      <w:r>
        <w:rPr>
          <w:sz w:val="28"/>
        </w:rPr>
        <w:t xml:space="preserve">                           к постановлению Администрации</w:t>
      </w:r>
    </w:p>
    <w:p w14:paraId="28000000">
      <w:pPr>
        <w:widowControl w:val="0"/>
        <w:ind w:firstLine="0" w:left="3700"/>
        <w:jc w:val="right"/>
        <w:rPr>
          <w:sz w:val="28"/>
        </w:rPr>
      </w:pP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</w:t>
      </w:r>
    </w:p>
    <w:p w14:paraId="29000000">
      <w:pPr>
        <w:widowControl w:val="0"/>
        <w:ind w:firstLine="0" w:left="3700"/>
        <w:jc w:val="right"/>
        <w:rPr>
          <w:sz w:val="28"/>
        </w:rPr>
      </w:pPr>
      <w:r>
        <w:rPr>
          <w:sz w:val="28"/>
        </w:rPr>
        <w:t>от 26.02.2025  № 28</w:t>
      </w:r>
    </w:p>
    <w:p w14:paraId="2A000000">
      <w:pPr>
        <w:widowControl w:val="0"/>
        <w:ind w:firstLine="0" w:left="3700"/>
        <w:jc w:val="right"/>
        <w:rPr>
          <w:sz w:val="24"/>
        </w:rPr>
      </w:pPr>
      <w:bookmarkStart w:id="1" w:name="Par50"/>
      <w:bookmarkEnd w:id="1"/>
    </w:p>
    <w:p w14:paraId="2B000000">
      <w:pPr>
        <w:widowControl w:val="0"/>
        <w:ind/>
        <w:jc w:val="center"/>
        <w:rPr>
          <w:sz w:val="28"/>
        </w:rPr>
      </w:pPr>
      <w:r>
        <w:rPr>
          <w:sz w:val="28"/>
        </w:rPr>
        <w:t>БЮДЖЕТНЫЙ ПРОГНОЗ</w:t>
      </w:r>
    </w:p>
    <w:p w14:paraId="2C000000">
      <w:pPr>
        <w:widowControl w:val="0"/>
        <w:ind/>
        <w:jc w:val="center"/>
        <w:rPr>
          <w:sz w:val="28"/>
        </w:rPr>
      </w:pP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на период 2023 – 2036 годов</w:t>
      </w:r>
    </w:p>
    <w:p w14:paraId="2D000000">
      <w:pPr>
        <w:pStyle w:val="Style_4"/>
        <w:ind w:firstLine="142" w:left="0"/>
        <w:jc w:val="center"/>
        <w:rPr>
          <w:sz w:val="28"/>
        </w:rPr>
      </w:pPr>
    </w:p>
    <w:p w14:paraId="2E000000">
      <w:pPr>
        <w:spacing w:line="228" w:lineRule="auto"/>
        <w:ind/>
        <w:jc w:val="center"/>
        <w:rPr>
          <w:sz w:val="28"/>
        </w:rPr>
      </w:pPr>
      <w:r>
        <w:tab/>
      </w:r>
      <w:r>
        <w:rPr>
          <w:sz w:val="28"/>
        </w:rPr>
        <w:t>Общие положения</w:t>
      </w:r>
    </w:p>
    <w:p w14:paraId="2F000000">
      <w:pPr>
        <w:spacing w:line="228" w:lineRule="auto"/>
        <w:ind/>
        <w:jc w:val="center"/>
        <w:rPr>
          <w:sz w:val="28"/>
        </w:rPr>
      </w:pPr>
    </w:p>
    <w:p w14:paraId="3000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Необходимость разработки документов долгосрочного бюджетного планирования была обозначена в Бюджетном послании Президента Российской Федерации о бюджетной политике в 2014 – 2016 годах. </w:t>
      </w:r>
    </w:p>
    <w:p w14:paraId="3100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>В целях реализации долгосрочного планирования принят Федеральный закон от 28.06.2014 № 172-ФЗ «О стратегическом планировании в Российской Федерации», внесены изменения в Бюджетный кодекс Российской Федерации в части дополнения статьей 170</w:t>
      </w:r>
      <w:r>
        <w:rPr>
          <w:sz w:val="28"/>
          <w:vertAlign w:val="superscript"/>
        </w:rPr>
        <w:t xml:space="preserve">1 </w:t>
      </w:r>
      <w:r>
        <w:rPr>
          <w:sz w:val="28"/>
        </w:rPr>
        <w:t xml:space="preserve">«Долгосрочное бюджетное планирование». </w:t>
      </w:r>
    </w:p>
    <w:p w14:paraId="32000000">
      <w:pPr>
        <w:ind w:firstLine="700" w:left="0" w:right="-2"/>
        <w:jc w:val="both"/>
        <w:rPr>
          <w:sz w:val="28"/>
        </w:rPr>
      </w:pPr>
      <w:r>
        <w:rPr>
          <w:sz w:val="28"/>
        </w:rPr>
        <w:t>На региональном уровне принят Областной закон от 20.10.2015 № 416-ЗС «О стратегическом планировании в Ростовской области». Решение Собрания депутатов 11.12.2020 № 244 «Об утверждении Положения о бюджетном процессе в муниципальном образовании «</w:t>
      </w:r>
      <w:r>
        <w:rPr>
          <w:sz w:val="28"/>
        </w:rPr>
        <w:t>Кринично-Лугское</w:t>
      </w:r>
      <w:r>
        <w:rPr>
          <w:sz w:val="28"/>
        </w:rPr>
        <w:t xml:space="preserve"> сельское поселение» дополнено статьей 19 «Долгосрочное бюджетное планирование». </w:t>
      </w:r>
    </w:p>
    <w:p w14:paraId="33000000">
      <w:pPr>
        <w:ind w:firstLine="708" w:left="0"/>
        <w:jc w:val="both"/>
        <w:rPr>
          <w:sz w:val="28"/>
        </w:rPr>
      </w:pPr>
      <w:r>
        <w:rPr>
          <w:sz w:val="28"/>
        </w:rPr>
        <w:t xml:space="preserve">Правила разработки и утверждения бюджетного прогноза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на долгосрочный период утверждены постановлением Администрации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от 30.12.2015 № 257 «Об утверждении Правил разработки и утверждения бюджетного прогноза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на долгосрочный период».</w:t>
      </w:r>
    </w:p>
    <w:p w14:paraId="34000000">
      <w:pPr>
        <w:ind w:firstLine="709" w:left="0"/>
        <w:jc w:val="both"/>
        <w:rPr>
          <w:sz w:val="28"/>
        </w:rPr>
      </w:pPr>
      <w:r>
        <w:rPr>
          <w:sz w:val="28"/>
        </w:rPr>
        <w:t>В соответствии с пунктом 3 статьи 170</w:t>
      </w:r>
      <w:r>
        <w:rPr>
          <w:sz w:val="28"/>
          <w:vertAlign w:val="superscript"/>
        </w:rPr>
        <w:t>1</w:t>
      </w:r>
      <w:r>
        <w:rPr>
          <w:sz w:val="28"/>
        </w:rPr>
        <w:t xml:space="preserve"> Бюджетного кодекса Российской Федерации бюджетный прогноз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на период 2023-2036 годов разработан на основе долгосрочного прогноза социально-экономического развития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на период </w:t>
      </w:r>
      <w:r>
        <w:rPr>
          <w:spacing w:val="-2"/>
          <w:sz w:val="28"/>
        </w:rPr>
        <w:t xml:space="preserve">до 2036 года, </w:t>
      </w:r>
      <w:r>
        <w:rPr>
          <w:sz w:val="28"/>
        </w:rPr>
        <w:t xml:space="preserve">утвержденного постановлением Администрации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от 25.11.2019 № 101 «О долгосрочном прогнозе социально-экономического развития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на период до 2036 года» (далее – долгосрочный прогноз</w:t>
      </w:r>
      <w:r>
        <w:rPr>
          <w:sz w:val="28"/>
        </w:rPr>
        <w:t xml:space="preserve"> </w:t>
      </w:r>
      <w:r>
        <w:rPr>
          <w:sz w:val="28"/>
        </w:rPr>
        <w:t>социально-экономического развития).</w:t>
      </w:r>
    </w:p>
    <w:p w14:paraId="35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Бюджетный прогноз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на период 2023-2036 годов (дале</w:t>
      </w:r>
      <w:r>
        <w:rPr>
          <w:sz w:val="28"/>
        </w:rPr>
        <w:t>е-</w:t>
      </w:r>
      <w:r>
        <w:rPr>
          <w:sz w:val="28"/>
        </w:rPr>
        <w:t xml:space="preserve"> бюджетный прогноз) содержит информацию об основных параметрах второго варианта долгосрочного прогноза социально-экономического развития Ростовской области, определенных в качестве базовых для целей долгосрочного бюджетного планирования, прогноз основных характеристик бюджета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поселения, а также основные подходы к формированию бюджетной политики в указанном </w:t>
      </w:r>
      <w:r>
        <w:rPr>
          <w:sz w:val="28"/>
        </w:rPr>
        <w:t xml:space="preserve">периоде. Параметры финансового обеспечения муниципальных программ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на период их действия соответствуют параметрам муниципальных программ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поселения,  утвержденным решением Собрания депутатов о бюджете на очередной финансовый год и на плановый период.</w:t>
      </w:r>
    </w:p>
    <w:p w14:paraId="36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 На период 2023-2036 годов показатели бюджета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по доходам сформированы на основе прогноза поступлений налоговых и неналоговых доходов от главных администраторов доходов бюджета сельского поселения, а также прогноза безвозмездных поступлений.</w:t>
      </w:r>
      <w:r>
        <w:rPr>
          <w:sz w:val="28"/>
        </w:rPr>
        <w:t xml:space="preserve"> </w:t>
      </w:r>
      <w:r>
        <w:rPr>
          <w:color w:themeColor="text1" w:val="000000"/>
          <w:sz w:val="28"/>
        </w:rPr>
        <w:t>Ежегодно средний темп роста  налоговых и неналоговых доходов бюджета составит 4,0 процента. Объем безвозмездных поступлений запланирован на уровне показателей 2027 года до 2036 года.</w:t>
      </w:r>
    </w:p>
    <w:p w14:paraId="37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Показатели бюджета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по расходам рассчитаны с учетом прогноза доходов.</w:t>
      </w:r>
    </w:p>
    <w:p w14:paraId="38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На период 2023-2036 годов прогнозируется сбалансированный бюджет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поселения.</w:t>
      </w:r>
    </w:p>
    <w:p w14:paraId="39000000">
      <w:pPr>
        <w:ind w:firstLine="708" w:left="0"/>
        <w:jc w:val="both"/>
        <w:rPr>
          <w:sz w:val="28"/>
        </w:rPr>
      </w:pPr>
      <w:r>
        <w:rPr>
          <w:sz w:val="28"/>
        </w:rPr>
        <w:t>Бюджетным прогнозом предусмотрено отсутствие муниципального долга за период 2023-2036 годов.</w:t>
      </w:r>
    </w:p>
    <w:p w14:paraId="3A00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>На период 2023 года параметры бюджетного прогноза сформированы с</w:t>
      </w:r>
      <w:r>
        <w:t> </w:t>
      </w:r>
      <w:r>
        <w:rPr>
          <w:sz w:val="28"/>
        </w:rPr>
        <w:t xml:space="preserve">учетом </w:t>
      </w:r>
      <w:r>
        <w:rPr>
          <w:spacing w:val="-4"/>
          <w:sz w:val="28"/>
        </w:rPr>
        <w:t xml:space="preserve">первоначально утвержденного </w:t>
      </w:r>
      <w:r>
        <w:rPr>
          <w:sz w:val="28"/>
        </w:rPr>
        <w:t xml:space="preserve">решения Собрания депутатов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от 23.12.2022 № 62 «О бюджете 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Куйбышевского района на 2023 год и плановый период 2024 и 2025 годов».</w:t>
      </w:r>
    </w:p>
    <w:p w14:paraId="3B00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>На период 2024 года параметры бюджетного прогноза сформированы с</w:t>
      </w:r>
      <w:r>
        <w:t> </w:t>
      </w:r>
      <w:r>
        <w:rPr>
          <w:sz w:val="28"/>
        </w:rPr>
        <w:t xml:space="preserve">учетом </w:t>
      </w:r>
      <w:r>
        <w:rPr>
          <w:spacing w:val="-4"/>
          <w:sz w:val="28"/>
        </w:rPr>
        <w:t xml:space="preserve">первоначально утвержденного </w:t>
      </w:r>
      <w:r>
        <w:rPr>
          <w:sz w:val="28"/>
        </w:rPr>
        <w:t xml:space="preserve">решения Собрания депутатов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от 22.12.2023 № 98 «О бюджете 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Куйбышевского района на 2024 год и плановый период 2025 и 2026 годов».</w:t>
      </w:r>
    </w:p>
    <w:p w14:paraId="3C00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 xml:space="preserve">Параметры бюджета поселения на период 2025 – 2027 годов приведены </w:t>
      </w:r>
      <w:r>
        <w:rPr>
          <w:spacing w:val="-4"/>
          <w:sz w:val="28"/>
        </w:rPr>
        <w:t xml:space="preserve">в соответствие с первоначально утвержденным </w:t>
      </w:r>
      <w:r>
        <w:rPr>
          <w:sz w:val="28"/>
        </w:rPr>
        <w:t xml:space="preserve">решением Собрания депутатов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от 26.12.2024 № 136 «О бюджете 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Куйбышевского района на 2025 год и плановый период 2026 и 2027 годов».</w:t>
      </w:r>
    </w:p>
    <w:p w14:paraId="3D000000">
      <w:pPr>
        <w:ind w:firstLine="708" w:left="0"/>
        <w:jc w:val="both"/>
        <w:rPr>
          <w:sz w:val="28"/>
        </w:rPr>
      </w:pPr>
    </w:p>
    <w:p w14:paraId="3E000000">
      <w:pPr>
        <w:tabs>
          <w:tab w:leader="none" w:pos="1005" w:val="left"/>
        </w:tabs>
        <w:ind/>
      </w:pPr>
    </w:p>
    <w:p w14:paraId="3F000000"/>
    <w:p w14:paraId="40000000">
      <w:pPr>
        <w:sectPr>
          <w:footerReference r:id="rId3" w:type="default"/>
          <w:pgSz w:h="16840" w:orient="portrait" w:w="11907"/>
          <w:pgMar w:bottom="851" w:footer="720" w:gutter="0" w:header="720" w:left="1701" w:right="567" w:top="1134"/>
        </w:sectPr>
      </w:pPr>
    </w:p>
    <w:p w14:paraId="41000000">
      <w:pPr>
        <w:pStyle w:val="Style_4"/>
        <w:widowControl w:val="0"/>
        <w:numPr>
          <w:ilvl w:val="0"/>
          <w:numId w:val="1"/>
        </w:numPr>
        <w:ind/>
        <w:jc w:val="center"/>
        <w:rPr>
          <w:sz w:val="28"/>
        </w:rPr>
      </w:pPr>
      <w:r>
        <w:rPr>
          <w:sz w:val="28"/>
        </w:rPr>
        <w:t>Основные параметры варианта долгосрочного прогноза, определенные в качестве базовых для целей долгосрочного бюджетного планирования</w:t>
      </w:r>
    </w:p>
    <w:p w14:paraId="42000000">
      <w:pPr>
        <w:pStyle w:val="Style_4"/>
        <w:widowControl w:val="0"/>
        <w:ind w:firstLine="0" w:left="928"/>
        <w:rPr>
          <w:sz w:val="28"/>
        </w:rPr>
      </w:pPr>
    </w:p>
    <w:p w14:paraId="43000000">
      <w:pPr>
        <w:widowControl w:val="0"/>
        <w:ind/>
        <w:jc w:val="right"/>
        <w:rPr>
          <w:sz w:val="28"/>
        </w:rPr>
      </w:pPr>
      <w:r>
        <w:rPr>
          <w:sz w:val="28"/>
        </w:rPr>
        <w:t xml:space="preserve"> (тыс. рублей)</w:t>
      </w:r>
    </w:p>
    <w:tbl>
      <w:tblPr>
        <w:tblStyle w:val="Style_5"/>
        <w:tblInd w:type="dxa" w:w="-364"/>
        <w:tblLayout w:type="fixed"/>
        <w:tblCellMar>
          <w:top w:type="dxa" w:w="75"/>
          <w:left w:type="dxa" w:w="0"/>
          <w:bottom w:type="dxa" w:w="75"/>
          <w:right w:type="dxa" w:w="0"/>
        </w:tblCellMar>
      </w:tblPr>
      <w:tblGrid>
        <w:gridCol w:w="359"/>
        <w:gridCol w:w="3289"/>
        <w:gridCol w:w="1682"/>
        <w:gridCol w:w="702"/>
        <w:gridCol w:w="701"/>
        <w:gridCol w:w="702"/>
        <w:gridCol w:w="702"/>
        <w:gridCol w:w="702"/>
        <w:gridCol w:w="701"/>
        <w:gridCol w:w="702"/>
        <w:gridCol w:w="702"/>
        <w:gridCol w:w="702"/>
        <w:gridCol w:w="701"/>
        <w:gridCol w:w="736"/>
        <w:gridCol w:w="807"/>
        <w:gridCol w:w="807"/>
        <w:gridCol w:w="807"/>
      </w:tblGrid>
      <w:tr>
        <w:tc>
          <w:tcPr>
            <w:tcW w:type="dxa" w:w="35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4000000">
            <w:pPr>
              <w:widowControl w:val="0"/>
              <w:ind/>
              <w:jc w:val="center"/>
              <w:rPr>
                <w:sz w:val="24"/>
              </w:rPr>
            </w:pPr>
          </w:p>
        </w:tc>
        <w:tc>
          <w:tcPr>
            <w:tcW w:type="dxa" w:w="328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  <w:vAlign w:val="center"/>
          </w:tcPr>
          <w:p w14:paraId="45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Основные</w:t>
            </w:r>
            <w:r>
              <w:rPr>
                <w:sz w:val="22"/>
              </w:rPr>
              <w:t xml:space="preserve"> показателя</w:t>
            </w:r>
          </w:p>
        </w:tc>
        <w:tc>
          <w:tcPr>
            <w:tcW w:type="dxa" w:w="168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6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Единица измерения</w:t>
            </w:r>
          </w:p>
        </w:tc>
        <w:tc>
          <w:tcPr>
            <w:tcW w:type="dxa" w:w="10174"/>
            <w:gridSpan w:val="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7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Год периода прогнозирования *</w:t>
            </w:r>
          </w:p>
        </w:tc>
      </w:tr>
      <w:tr>
        <w:tc>
          <w:tcPr>
            <w:tcW w:type="dxa" w:w="35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/>
        </w:tc>
        <w:tc>
          <w:tcPr>
            <w:tcW w:type="dxa" w:w="328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  <w:vAlign w:val="center"/>
          </w:tcPr>
          <w:p/>
        </w:tc>
        <w:tc>
          <w:tcPr>
            <w:tcW w:type="dxa" w:w="168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/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8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2023</w:t>
            </w:r>
          </w:p>
        </w:tc>
        <w:tc>
          <w:tcPr>
            <w:tcW w:type="dxa" w:w="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9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A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2025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B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2026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C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2027</w:t>
            </w:r>
          </w:p>
        </w:tc>
        <w:tc>
          <w:tcPr>
            <w:tcW w:type="dxa" w:w="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D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2028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  <w:vAlign w:val="center"/>
          </w:tcPr>
          <w:p w14:paraId="4E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2029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F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2030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0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2031</w:t>
            </w:r>
          </w:p>
        </w:tc>
        <w:tc>
          <w:tcPr>
            <w:tcW w:type="dxa" w:w="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1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2032</w:t>
            </w:r>
          </w:p>
        </w:tc>
        <w:tc>
          <w:tcPr>
            <w:tcW w:type="dxa" w:w="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2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2033</w:t>
            </w:r>
          </w:p>
        </w:tc>
        <w:tc>
          <w:tcPr>
            <w:tcW w:type="dxa" w:w="8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3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2034</w:t>
            </w:r>
          </w:p>
        </w:tc>
        <w:tc>
          <w:tcPr>
            <w:tcW w:type="dxa" w:w="8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54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2035</w:t>
            </w:r>
          </w:p>
        </w:tc>
        <w:tc>
          <w:tcPr>
            <w:tcW w:type="dxa" w:w="8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55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2036</w:t>
            </w:r>
          </w:p>
        </w:tc>
      </w:tr>
      <w:tr>
        <w:tc>
          <w:tcPr>
            <w:tcW w:type="dxa" w:w="3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6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32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7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type="dxa" w:w="16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8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9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type="dxa" w:w="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A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B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C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D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type="dxa" w:w="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E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  <w:vAlign w:val="center"/>
          </w:tcPr>
          <w:p w14:paraId="5F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0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1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type="dxa" w:w="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2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type="dxa" w:w="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3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type="dxa" w:w="8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4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type="dxa" w:w="8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65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type="dxa" w:w="8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66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  <w:tr>
        <w:tc>
          <w:tcPr>
            <w:tcW w:type="dxa" w:w="3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7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type="dxa" w:w="32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8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Индекс потребительских цен</w:t>
            </w:r>
          </w:p>
        </w:tc>
        <w:tc>
          <w:tcPr>
            <w:tcW w:type="dxa" w:w="16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9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Процентов к предыдущему году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A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104,0</w:t>
            </w:r>
          </w:p>
        </w:tc>
        <w:tc>
          <w:tcPr>
            <w:tcW w:type="dxa" w:w="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B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104,0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C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104,0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D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104,0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E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104,0</w:t>
            </w:r>
          </w:p>
        </w:tc>
        <w:tc>
          <w:tcPr>
            <w:tcW w:type="dxa" w:w="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F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104,0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  <w:vAlign w:val="center"/>
          </w:tcPr>
          <w:p w14:paraId="70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104,0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1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104,0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2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104,0</w:t>
            </w:r>
          </w:p>
        </w:tc>
        <w:tc>
          <w:tcPr>
            <w:tcW w:type="dxa" w:w="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3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104,0</w:t>
            </w:r>
          </w:p>
        </w:tc>
        <w:tc>
          <w:tcPr>
            <w:tcW w:type="dxa" w:w="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4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104,0</w:t>
            </w:r>
          </w:p>
        </w:tc>
        <w:tc>
          <w:tcPr>
            <w:tcW w:type="dxa" w:w="8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5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104,0</w:t>
            </w:r>
          </w:p>
        </w:tc>
        <w:tc>
          <w:tcPr>
            <w:tcW w:type="dxa" w:w="8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6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104,0</w:t>
            </w:r>
          </w:p>
        </w:tc>
        <w:tc>
          <w:tcPr>
            <w:tcW w:type="dxa" w:w="8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7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104,0</w:t>
            </w:r>
          </w:p>
        </w:tc>
      </w:tr>
    </w:tbl>
    <w:p w14:paraId="78000000">
      <w:pPr>
        <w:widowControl w:val="0"/>
        <w:ind/>
        <w:jc w:val="center"/>
        <w:rPr>
          <w:b w:val="1"/>
          <w:sz w:val="24"/>
        </w:rPr>
      </w:pPr>
      <w:r>
        <w:rPr>
          <w:sz w:val="24"/>
        </w:rPr>
        <w:t>* В 2023 – 2036 годах учтены показатели в соответствии со вторым вариантом долгосрочного прогноза социально-экономического развития Ростовской области.</w:t>
      </w:r>
    </w:p>
    <w:p w14:paraId="79000000">
      <w:pPr>
        <w:widowControl w:val="0"/>
        <w:ind/>
        <w:jc w:val="center"/>
        <w:rPr>
          <w:sz w:val="28"/>
        </w:rPr>
      </w:pPr>
      <w:r>
        <w:rPr>
          <w:sz w:val="28"/>
        </w:rPr>
        <w:t xml:space="preserve">2. Прогноз основных характеристик бюджета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</w:t>
      </w:r>
    </w:p>
    <w:p w14:paraId="7A000000">
      <w:pPr>
        <w:widowControl w:val="0"/>
        <w:ind w:firstLine="709" w:left="10635"/>
        <w:jc w:val="right"/>
        <w:rPr>
          <w:sz w:val="28"/>
        </w:rPr>
      </w:pPr>
      <w:r>
        <w:rPr>
          <w:sz w:val="28"/>
        </w:rPr>
        <w:t>тыс. рублей</w:t>
      </w:r>
    </w:p>
    <w:tbl>
      <w:tblPr>
        <w:tblStyle w:val="Style_5"/>
        <w:tblInd w:type="dxa" w:w="-364"/>
        <w:tblLayout w:type="fixed"/>
        <w:tblCellMar>
          <w:top w:type="dxa" w:w="75"/>
          <w:left w:type="dxa" w:w="0"/>
          <w:bottom w:type="dxa" w:w="75"/>
          <w:right w:type="dxa" w:w="0"/>
        </w:tblCellMar>
      </w:tblPr>
      <w:tblGrid>
        <w:gridCol w:w="2105"/>
        <w:gridCol w:w="983"/>
        <w:gridCol w:w="982"/>
        <w:gridCol w:w="982"/>
        <w:gridCol w:w="982"/>
        <w:gridCol w:w="983"/>
        <w:gridCol w:w="982"/>
        <w:gridCol w:w="982"/>
        <w:gridCol w:w="912"/>
        <w:gridCol w:w="983"/>
        <w:gridCol w:w="982"/>
        <w:gridCol w:w="982"/>
        <w:gridCol w:w="842"/>
        <w:gridCol w:w="841"/>
        <w:gridCol w:w="982"/>
      </w:tblGrid>
      <w:tr>
        <w:tc>
          <w:tcPr>
            <w:tcW w:type="dxa" w:w="210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B000000">
            <w:pPr>
              <w:widowControl w:val="0"/>
              <w:ind/>
              <w:jc w:val="center"/>
              <w:rPr>
                <w:sz w:val="24"/>
              </w:rPr>
            </w:pPr>
            <w:bookmarkStart w:id="2" w:name="Par308"/>
            <w:bookmarkEnd w:id="2"/>
            <w:r>
              <w:rPr>
                <w:sz w:val="24"/>
              </w:rPr>
              <w:t>Наименование показателя</w:t>
            </w:r>
          </w:p>
        </w:tc>
        <w:tc>
          <w:tcPr>
            <w:tcW w:type="dxa" w:w="13400"/>
            <w:gridSpan w:val="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C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Год периода прогнозирования</w:t>
            </w:r>
          </w:p>
        </w:tc>
      </w:tr>
      <w:tr>
        <w:tc>
          <w:tcPr>
            <w:tcW w:type="dxa" w:w="210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/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D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type="dxa" w:w="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E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2024</w:t>
            </w:r>
          </w:p>
        </w:tc>
        <w:tc>
          <w:tcPr>
            <w:tcW w:type="dxa" w:w="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F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0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1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type="dxa" w:w="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2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2028</w:t>
            </w:r>
          </w:p>
        </w:tc>
        <w:tc>
          <w:tcPr>
            <w:tcW w:type="dxa" w:w="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  <w:vAlign w:val="center"/>
          </w:tcPr>
          <w:p w14:paraId="83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2029</w:t>
            </w:r>
          </w:p>
        </w:tc>
        <w:tc>
          <w:tcPr>
            <w:tcW w:type="dxa" w:w="9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4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5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2031</w:t>
            </w:r>
          </w:p>
        </w:tc>
        <w:tc>
          <w:tcPr>
            <w:tcW w:type="dxa" w:w="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6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2032</w:t>
            </w:r>
          </w:p>
        </w:tc>
        <w:tc>
          <w:tcPr>
            <w:tcW w:type="dxa" w:w="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7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2033</w:t>
            </w:r>
          </w:p>
        </w:tc>
        <w:tc>
          <w:tcPr>
            <w:tcW w:type="dxa" w:w="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8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2034</w:t>
            </w:r>
          </w:p>
        </w:tc>
        <w:tc>
          <w:tcPr>
            <w:tcW w:type="dxa" w:w="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9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2035</w:t>
            </w:r>
          </w:p>
        </w:tc>
        <w:tc>
          <w:tcPr>
            <w:tcW w:type="dxa" w:w="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A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2036</w:t>
            </w:r>
          </w:p>
        </w:tc>
      </w:tr>
    </w:tbl>
    <w:p w14:paraId="8B000000">
      <w:pPr>
        <w:widowControl w:val="0"/>
        <w:ind/>
        <w:jc w:val="center"/>
        <w:rPr>
          <w:sz w:val="24"/>
        </w:rPr>
      </w:pPr>
    </w:p>
    <w:tbl>
      <w:tblPr>
        <w:tblStyle w:val="Style_5"/>
        <w:tblInd w:type="dxa" w:w="-364"/>
        <w:tblLayout w:type="fixed"/>
        <w:tblCellMar>
          <w:top w:type="dxa" w:w="75"/>
          <w:left w:type="dxa" w:w="0"/>
          <w:bottom w:type="dxa" w:w="75"/>
          <w:right w:type="dxa" w:w="0"/>
        </w:tblCellMar>
      </w:tblPr>
      <w:tblGrid>
        <w:gridCol w:w="2096"/>
        <w:gridCol w:w="978"/>
        <w:gridCol w:w="977"/>
        <w:gridCol w:w="977"/>
        <w:gridCol w:w="977"/>
        <w:gridCol w:w="978"/>
        <w:gridCol w:w="977"/>
        <w:gridCol w:w="977"/>
        <w:gridCol w:w="977"/>
        <w:gridCol w:w="982"/>
        <w:gridCol w:w="837"/>
        <w:gridCol w:w="977"/>
        <w:gridCol w:w="838"/>
        <w:gridCol w:w="977"/>
        <w:gridCol w:w="977"/>
      </w:tblGrid>
      <w:tr>
        <w:trPr>
          <w:trHeight w:hRule="atLeast" w:val="346"/>
          <w:tblHeader/>
        </w:trPr>
        <w:tc>
          <w:tcPr>
            <w:tcW w:type="dxa" w:w="209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C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D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E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F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0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1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2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3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4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type="dxa" w:w="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5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type="dxa" w:w="8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  <w:vAlign w:val="center"/>
          </w:tcPr>
          <w:p w14:paraId="96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7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type="dxa" w:w="8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  <w:vAlign w:val="center"/>
          </w:tcPr>
          <w:p w14:paraId="98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9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A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>
        <w:tc>
          <w:tcPr>
            <w:tcW w:type="dxa" w:w="12710"/>
            <w:gridSpan w:val="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9B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Показатели бюджета </w:t>
            </w:r>
            <w:r>
              <w:rPr>
                <w:sz w:val="24"/>
              </w:rPr>
              <w:t>Кринично-Лугского</w:t>
            </w:r>
            <w:r>
              <w:rPr>
                <w:sz w:val="24"/>
              </w:rPr>
              <w:t xml:space="preserve"> сельского поселения</w:t>
            </w:r>
          </w:p>
        </w:tc>
        <w:tc>
          <w:tcPr>
            <w:tcW w:type="dxa" w:w="838"/>
            <w:tcMar>
              <w:top w:type="dxa" w:w="75"/>
              <w:left w:type="dxa" w:w="0"/>
              <w:bottom w:type="dxa" w:w="75"/>
              <w:right w:type="dxa" w:w="0"/>
            </w:tcMar>
          </w:tcPr>
          <w:p w14:paraId="9C000000"/>
        </w:tc>
        <w:tc>
          <w:tcPr>
            <w:tcW w:type="dxa" w:w="977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9D000000"/>
        </w:tc>
        <w:tc>
          <w:tcPr>
            <w:tcW w:type="dxa" w:w="977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9E000000"/>
        </w:tc>
      </w:tr>
      <w:tr>
        <w:tc>
          <w:tcPr>
            <w:tcW w:type="dxa" w:w="209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9F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Доходы, в том числе: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0000000">
            <w:pPr>
              <w:rPr>
                <w:sz w:val="24"/>
              </w:rPr>
            </w:pPr>
            <w:r>
              <w:rPr>
                <w:sz w:val="24"/>
              </w:rPr>
              <w:t>27 015,0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1000000">
            <w:pPr>
              <w:rPr>
                <w:sz w:val="24"/>
              </w:rPr>
            </w:pPr>
            <w:r>
              <w:rPr>
                <w:sz w:val="24"/>
              </w:rPr>
              <w:t>28 387,7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2000000">
            <w:pPr>
              <w:rPr>
                <w:sz w:val="24"/>
              </w:rPr>
            </w:pPr>
            <w:r>
              <w:rPr>
                <w:sz w:val="24"/>
              </w:rPr>
              <w:t>32 696,1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3000000">
            <w:pPr>
              <w:rPr>
                <w:sz w:val="24"/>
              </w:rPr>
            </w:pPr>
            <w:r>
              <w:rPr>
                <w:sz w:val="24"/>
              </w:rPr>
              <w:t>28 652,4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4000000">
            <w:pPr>
              <w:rPr>
                <w:sz w:val="24"/>
              </w:rPr>
            </w:pPr>
            <w:r>
              <w:rPr>
                <w:sz w:val="24"/>
              </w:rPr>
              <w:t>20 390,7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5000000">
            <w:pPr>
              <w:rPr>
                <w:sz w:val="24"/>
              </w:rPr>
            </w:pPr>
            <w:r>
              <w:rPr>
                <w:sz w:val="24"/>
              </w:rPr>
              <w:t>21 187,7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6000000">
            <w:pPr>
              <w:rPr>
                <w:sz w:val="24"/>
              </w:rPr>
            </w:pPr>
            <w:r>
              <w:rPr>
                <w:sz w:val="24"/>
              </w:rPr>
              <w:t>22 016,7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7000000">
            <w:pPr>
              <w:rPr>
                <w:sz w:val="24"/>
              </w:rPr>
            </w:pPr>
            <w:r>
              <w:rPr>
                <w:sz w:val="24"/>
              </w:rPr>
              <w:t>22 878,8</w:t>
            </w:r>
          </w:p>
        </w:tc>
        <w:tc>
          <w:tcPr>
            <w:tcW w:type="dxa" w:w="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8000000">
            <w:pPr>
              <w:rPr>
                <w:sz w:val="24"/>
              </w:rPr>
            </w:pPr>
            <w:r>
              <w:rPr>
                <w:sz w:val="24"/>
              </w:rPr>
              <w:t>23 775,4</w:t>
            </w:r>
          </w:p>
        </w:tc>
        <w:tc>
          <w:tcPr>
            <w:tcW w:type="dxa" w:w="8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</w:tcPr>
          <w:p w14:paraId="A9000000">
            <w:pPr>
              <w:rPr>
                <w:sz w:val="24"/>
              </w:rPr>
            </w:pPr>
            <w:r>
              <w:rPr>
                <w:sz w:val="24"/>
              </w:rPr>
              <w:t>24707,8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A000000">
            <w:pPr>
              <w:rPr>
                <w:sz w:val="24"/>
              </w:rPr>
            </w:pPr>
            <w:r>
              <w:rPr>
                <w:sz w:val="24"/>
              </w:rPr>
              <w:t>25 677,6</w:t>
            </w:r>
          </w:p>
        </w:tc>
        <w:tc>
          <w:tcPr>
            <w:tcW w:type="dxa" w:w="8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</w:tcPr>
          <w:p w14:paraId="AB000000">
            <w:pPr>
              <w:rPr>
                <w:sz w:val="24"/>
              </w:rPr>
            </w:pPr>
            <w:r>
              <w:rPr>
                <w:sz w:val="24"/>
              </w:rPr>
              <w:t>26686,1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C000000">
            <w:pPr>
              <w:rPr>
                <w:sz w:val="24"/>
              </w:rPr>
            </w:pPr>
            <w:r>
              <w:rPr>
                <w:sz w:val="24"/>
              </w:rPr>
              <w:t>27 735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D000000">
            <w:pPr>
              <w:rPr>
                <w:sz w:val="24"/>
              </w:rPr>
            </w:pPr>
            <w:r>
              <w:rPr>
                <w:sz w:val="24"/>
              </w:rPr>
              <w:t>28 825,8</w:t>
            </w:r>
          </w:p>
        </w:tc>
      </w:tr>
      <w:tr>
        <w:tc>
          <w:tcPr>
            <w:tcW w:type="dxa" w:w="209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E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налоговые и неналоговые доходы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F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14 649,7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0000000">
            <w:pPr>
              <w:rPr>
                <w:sz w:val="24"/>
              </w:rPr>
            </w:pPr>
            <w:r>
              <w:rPr>
                <w:sz w:val="24"/>
              </w:rPr>
              <w:t>14 302,3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1000000">
            <w:pPr>
              <w:rPr>
                <w:sz w:val="24"/>
              </w:rPr>
            </w:pPr>
            <w:r>
              <w:rPr>
                <w:sz w:val="24"/>
              </w:rPr>
              <w:t>19 750,7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2000000">
            <w:pPr>
              <w:rPr>
                <w:sz w:val="24"/>
              </w:rPr>
            </w:pPr>
            <w:r>
              <w:rPr>
                <w:sz w:val="24"/>
              </w:rPr>
              <w:t>19 608,5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3000000">
            <w:pPr>
              <w:rPr>
                <w:sz w:val="24"/>
              </w:rPr>
            </w:pPr>
            <w:r>
              <w:rPr>
                <w:sz w:val="24"/>
              </w:rPr>
              <w:t>19 926,6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4000000">
            <w:pPr>
              <w:rPr>
                <w:sz w:val="24"/>
              </w:rPr>
            </w:pPr>
            <w:r>
              <w:rPr>
                <w:sz w:val="24"/>
              </w:rPr>
              <w:t>20 723,6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5000000">
            <w:pPr>
              <w:rPr>
                <w:sz w:val="24"/>
              </w:rPr>
            </w:pPr>
            <w:r>
              <w:rPr>
                <w:sz w:val="24"/>
              </w:rPr>
              <w:t>21 552,6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6000000">
            <w:pPr>
              <w:rPr>
                <w:sz w:val="24"/>
              </w:rPr>
            </w:pPr>
            <w:r>
              <w:rPr>
                <w:sz w:val="24"/>
              </w:rPr>
              <w:t>22 414,7</w:t>
            </w:r>
          </w:p>
        </w:tc>
        <w:tc>
          <w:tcPr>
            <w:tcW w:type="dxa" w:w="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7000000">
            <w:pPr>
              <w:rPr>
                <w:sz w:val="24"/>
              </w:rPr>
            </w:pPr>
            <w:r>
              <w:rPr>
                <w:sz w:val="24"/>
              </w:rPr>
              <w:t>23 311,3</w:t>
            </w:r>
          </w:p>
        </w:tc>
        <w:tc>
          <w:tcPr>
            <w:tcW w:type="dxa" w:w="8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</w:tcPr>
          <w:p w14:paraId="B8000000">
            <w:pPr>
              <w:rPr>
                <w:sz w:val="24"/>
              </w:rPr>
            </w:pPr>
            <w:r>
              <w:rPr>
                <w:sz w:val="24"/>
              </w:rPr>
              <w:t>24243,7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9000000">
            <w:pPr>
              <w:rPr>
                <w:sz w:val="24"/>
              </w:rPr>
            </w:pPr>
            <w:r>
              <w:rPr>
                <w:sz w:val="24"/>
              </w:rPr>
              <w:t>25 213,5</w:t>
            </w:r>
          </w:p>
        </w:tc>
        <w:tc>
          <w:tcPr>
            <w:tcW w:type="dxa" w:w="8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</w:tcPr>
          <w:p w14:paraId="BA000000">
            <w:pPr>
              <w:rPr>
                <w:sz w:val="24"/>
              </w:rPr>
            </w:pPr>
            <w:r>
              <w:rPr>
                <w:sz w:val="24"/>
              </w:rPr>
              <w:t>26222,0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B000000">
            <w:pPr>
              <w:rPr>
                <w:sz w:val="24"/>
              </w:rPr>
            </w:pPr>
            <w:r>
              <w:rPr>
                <w:sz w:val="24"/>
              </w:rPr>
              <w:t>27 270,9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C000000">
            <w:pPr>
              <w:rPr>
                <w:sz w:val="24"/>
              </w:rPr>
            </w:pPr>
            <w:r>
              <w:rPr>
                <w:sz w:val="24"/>
              </w:rPr>
              <w:t>28 361,7</w:t>
            </w:r>
          </w:p>
        </w:tc>
      </w:tr>
      <w:tr>
        <w:tc>
          <w:tcPr>
            <w:tcW w:type="dxa" w:w="209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D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безвозмездные поступления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E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12 365,3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F000000">
            <w:pPr>
              <w:rPr>
                <w:sz w:val="24"/>
              </w:rPr>
            </w:pPr>
            <w:r>
              <w:rPr>
                <w:sz w:val="24"/>
              </w:rPr>
              <w:t>14 085,4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0000000">
            <w:pPr>
              <w:rPr>
                <w:sz w:val="24"/>
              </w:rPr>
            </w:pPr>
            <w:r>
              <w:rPr>
                <w:sz w:val="24"/>
              </w:rPr>
              <w:t>12 945,4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1000000">
            <w:pPr>
              <w:rPr>
                <w:sz w:val="24"/>
              </w:rPr>
            </w:pPr>
            <w:r>
              <w:rPr>
                <w:sz w:val="24"/>
              </w:rPr>
              <w:t>9 043,9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2000000">
            <w:r>
              <w:rPr>
                <w:sz w:val="24"/>
              </w:rPr>
              <w:t>464,1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3000000">
            <w:r>
              <w:rPr>
                <w:sz w:val="24"/>
              </w:rPr>
              <w:t>464,1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4000000">
            <w:r>
              <w:rPr>
                <w:sz w:val="24"/>
              </w:rPr>
              <w:t>464,1</w:t>
            </w:r>
          </w:p>
          <w:p w14:paraId="C5000000"/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6000000">
            <w:r>
              <w:rPr>
                <w:sz w:val="24"/>
              </w:rPr>
              <w:t>464,1</w:t>
            </w:r>
          </w:p>
          <w:p w14:paraId="C7000000"/>
          <w:p w14:paraId="C8000000"/>
        </w:tc>
        <w:tc>
          <w:tcPr>
            <w:tcW w:type="dxa" w:w="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9000000">
            <w:r>
              <w:rPr>
                <w:sz w:val="24"/>
              </w:rPr>
              <w:t>464,1</w:t>
            </w:r>
          </w:p>
          <w:p w14:paraId="CA000000"/>
          <w:p w14:paraId="CB000000"/>
        </w:tc>
        <w:tc>
          <w:tcPr>
            <w:tcW w:type="dxa" w:w="8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</w:tcPr>
          <w:p w14:paraId="CC000000">
            <w:r>
              <w:rPr>
                <w:sz w:val="24"/>
              </w:rPr>
              <w:t>464,1</w:t>
            </w:r>
          </w:p>
          <w:p w14:paraId="CD000000"/>
          <w:p w14:paraId="CE000000">
            <w:pPr>
              <w:rPr>
                <w:sz w:val="24"/>
              </w:rPr>
            </w:pP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F000000">
            <w:r>
              <w:rPr>
                <w:sz w:val="24"/>
              </w:rPr>
              <w:t>464,1</w:t>
            </w:r>
          </w:p>
        </w:tc>
        <w:tc>
          <w:tcPr>
            <w:tcW w:type="dxa" w:w="8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</w:tcPr>
          <w:p w14:paraId="D0000000">
            <w:r>
              <w:rPr>
                <w:sz w:val="24"/>
              </w:rPr>
              <w:t>464,1</w:t>
            </w:r>
          </w:p>
          <w:p w14:paraId="D1000000"/>
          <w:p w14:paraId="D2000000"/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D3000000">
            <w:r>
              <w:rPr>
                <w:sz w:val="24"/>
              </w:rPr>
              <w:t>464,1</w:t>
            </w:r>
          </w:p>
          <w:p w14:paraId="D4000000">
            <w:pPr>
              <w:rPr>
                <w:sz w:val="24"/>
              </w:rPr>
            </w:pP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D5000000">
            <w:r>
              <w:rPr>
                <w:sz w:val="24"/>
              </w:rPr>
              <w:t>464,1</w:t>
            </w:r>
          </w:p>
          <w:p w14:paraId="D6000000"/>
          <w:p w14:paraId="D7000000">
            <w:pPr>
              <w:rPr>
                <w:sz w:val="24"/>
              </w:rPr>
            </w:pPr>
          </w:p>
        </w:tc>
      </w:tr>
      <w:tr>
        <w:tc>
          <w:tcPr>
            <w:tcW w:type="dxa" w:w="209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D8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Расходы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D9000000">
            <w:pPr>
              <w:rPr>
                <w:sz w:val="24"/>
              </w:rPr>
            </w:pPr>
            <w:r>
              <w:rPr>
                <w:sz w:val="24"/>
              </w:rPr>
              <w:t>27 015,0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DA000000">
            <w:pPr>
              <w:rPr>
                <w:sz w:val="24"/>
              </w:rPr>
            </w:pPr>
            <w:r>
              <w:rPr>
                <w:sz w:val="24"/>
              </w:rPr>
              <w:t>28 387,7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DB000000">
            <w:pPr>
              <w:rPr>
                <w:sz w:val="24"/>
              </w:rPr>
            </w:pPr>
            <w:r>
              <w:rPr>
                <w:sz w:val="24"/>
              </w:rPr>
              <w:t>32 696,1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DC000000">
            <w:pPr>
              <w:rPr>
                <w:sz w:val="24"/>
              </w:rPr>
            </w:pPr>
            <w:r>
              <w:rPr>
                <w:sz w:val="24"/>
              </w:rPr>
              <w:t>28 652,4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DD000000">
            <w:pPr>
              <w:rPr>
                <w:sz w:val="24"/>
              </w:rPr>
            </w:pPr>
            <w:r>
              <w:rPr>
                <w:sz w:val="24"/>
              </w:rPr>
              <w:t>20 390,7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DE000000">
            <w:pPr>
              <w:rPr>
                <w:sz w:val="24"/>
              </w:rPr>
            </w:pPr>
            <w:r>
              <w:rPr>
                <w:sz w:val="24"/>
              </w:rPr>
              <w:t>21 187,7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DF000000">
            <w:pPr>
              <w:rPr>
                <w:sz w:val="24"/>
              </w:rPr>
            </w:pPr>
            <w:r>
              <w:rPr>
                <w:sz w:val="24"/>
              </w:rPr>
              <w:t>22 016,7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E0000000">
            <w:pPr>
              <w:rPr>
                <w:sz w:val="24"/>
              </w:rPr>
            </w:pPr>
            <w:r>
              <w:rPr>
                <w:sz w:val="24"/>
              </w:rPr>
              <w:t>22 878,8</w:t>
            </w:r>
          </w:p>
        </w:tc>
        <w:tc>
          <w:tcPr>
            <w:tcW w:type="dxa" w:w="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E1000000">
            <w:pPr>
              <w:rPr>
                <w:sz w:val="24"/>
              </w:rPr>
            </w:pPr>
            <w:r>
              <w:rPr>
                <w:sz w:val="24"/>
              </w:rPr>
              <w:t>23 775,4</w:t>
            </w:r>
          </w:p>
        </w:tc>
        <w:tc>
          <w:tcPr>
            <w:tcW w:type="dxa" w:w="8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</w:tcPr>
          <w:p w14:paraId="E2000000">
            <w:pPr>
              <w:rPr>
                <w:sz w:val="24"/>
              </w:rPr>
            </w:pPr>
            <w:r>
              <w:rPr>
                <w:sz w:val="24"/>
              </w:rPr>
              <w:t>24707,8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E3000000">
            <w:pPr>
              <w:rPr>
                <w:sz w:val="24"/>
              </w:rPr>
            </w:pPr>
            <w:r>
              <w:rPr>
                <w:sz w:val="24"/>
              </w:rPr>
              <w:t>25 677,6</w:t>
            </w:r>
          </w:p>
        </w:tc>
        <w:tc>
          <w:tcPr>
            <w:tcW w:type="dxa" w:w="8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</w:tcPr>
          <w:p w14:paraId="E4000000">
            <w:pPr>
              <w:rPr>
                <w:sz w:val="24"/>
              </w:rPr>
            </w:pPr>
            <w:r>
              <w:rPr>
                <w:sz w:val="24"/>
              </w:rPr>
              <w:t>26686,1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E5000000">
            <w:pPr>
              <w:rPr>
                <w:sz w:val="24"/>
              </w:rPr>
            </w:pPr>
            <w:r>
              <w:rPr>
                <w:sz w:val="24"/>
              </w:rPr>
              <w:t>27 735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E6000000">
            <w:pPr>
              <w:rPr>
                <w:sz w:val="24"/>
              </w:rPr>
            </w:pPr>
            <w:r>
              <w:rPr>
                <w:sz w:val="24"/>
              </w:rPr>
              <w:t>28 825,8</w:t>
            </w:r>
          </w:p>
        </w:tc>
      </w:tr>
      <w:tr>
        <w:tc>
          <w:tcPr>
            <w:tcW w:type="dxa" w:w="209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E7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Расходы (без учета условно утвержденных расходов)*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E8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E9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EA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EB000000">
            <w:pPr>
              <w:ind/>
              <w:jc w:val="center"/>
              <w:rPr>
                <w:sz w:val="24"/>
                <w:highlight w:val="yellow"/>
              </w:rPr>
            </w:pPr>
            <w:r>
              <w:rPr>
                <w:sz w:val="24"/>
              </w:rPr>
              <w:t>27 947,3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EC000000">
            <w:pPr>
              <w:rPr>
                <w:sz w:val="24"/>
              </w:rPr>
            </w:pPr>
            <w:r>
              <w:rPr>
                <w:sz w:val="24"/>
              </w:rPr>
              <w:t>19 394,3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ED000000">
            <w:pPr>
              <w:rPr>
                <w:sz w:val="24"/>
              </w:rPr>
            </w:pPr>
            <w:r>
              <w:rPr>
                <w:sz w:val="24"/>
              </w:rPr>
              <w:t>20 </w:t>
            </w:r>
            <w:r>
              <w:rPr>
                <w:sz w:val="24"/>
              </w:rPr>
              <w:t>482,6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EE000000">
            <w:pPr>
              <w:rPr>
                <w:sz w:val="24"/>
              </w:rPr>
            </w:pPr>
            <w:r>
              <w:rPr>
                <w:sz w:val="24"/>
              </w:rPr>
              <w:t>21 </w:t>
            </w:r>
            <w:r>
              <w:rPr>
                <w:sz w:val="24"/>
              </w:rPr>
              <w:t>311,6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EF000000">
            <w:pPr>
              <w:rPr>
                <w:sz w:val="24"/>
              </w:rPr>
            </w:pPr>
            <w:r>
              <w:rPr>
                <w:sz w:val="24"/>
              </w:rPr>
              <w:t>22 173,7</w:t>
            </w:r>
          </w:p>
        </w:tc>
        <w:tc>
          <w:tcPr>
            <w:tcW w:type="dxa" w:w="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F0000000">
            <w:pPr>
              <w:rPr>
                <w:sz w:val="24"/>
              </w:rPr>
            </w:pPr>
            <w:r>
              <w:rPr>
                <w:sz w:val="24"/>
              </w:rPr>
              <w:t>23 070,3</w:t>
            </w:r>
          </w:p>
        </w:tc>
        <w:tc>
          <w:tcPr>
            <w:tcW w:type="dxa" w:w="8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</w:tcPr>
          <w:p w14:paraId="F1000000">
            <w:pPr>
              <w:rPr>
                <w:sz w:val="24"/>
              </w:rPr>
            </w:pPr>
            <w:r>
              <w:rPr>
                <w:sz w:val="24"/>
              </w:rPr>
              <w:t>24002,7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F2000000">
            <w:pPr>
              <w:rPr>
                <w:sz w:val="24"/>
              </w:rPr>
            </w:pPr>
            <w:r>
              <w:rPr>
                <w:sz w:val="24"/>
              </w:rPr>
              <w:t>24 972,5</w:t>
            </w:r>
          </w:p>
        </w:tc>
        <w:tc>
          <w:tcPr>
            <w:tcW w:type="dxa" w:w="8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</w:tcPr>
          <w:p w14:paraId="F3000000">
            <w:pPr>
              <w:rPr>
                <w:sz w:val="24"/>
              </w:rPr>
            </w:pPr>
            <w:r>
              <w:rPr>
                <w:sz w:val="24"/>
              </w:rPr>
              <w:t>25 981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F4000000">
            <w:pPr>
              <w:rPr>
                <w:sz w:val="24"/>
              </w:rPr>
            </w:pPr>
            <w:r>
              <w:rPr>
                <w:sz w:val="24"/>
              </w:rPr>
              <w:t>27 029,9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F5000000">
            <w:pPr>
              <w:rPr>
                <w:sz w:val="24"/>
              </w:rPr>
            </w:pPr>
            <w:r>
              <w:rPr>
                <w:sz w:val="24"/>
              </w:rPr>
              <w:t>28 120,7</w:t>
            </w:r>
          </w:p>
        </w:tc>
      </w:tr>
      <w:tr>
        <w:tc>
          <w:tcPr>
            <w:tcW w:type="dxa" w:w="209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F6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Дефицит/профицит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F7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F8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F9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FA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FB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FC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FD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FE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FF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8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</w:tcPr>
          <w:p w14:paraId="00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1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8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</w:tcPr>
          <w:p w14:paraId="02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3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4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c>
          <w:tcPr>
            <w:tcW w:type="dxa" w:w="209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5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Источники финансирования дефицита бюджета, в том числе: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6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7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8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9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A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B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C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D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E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8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</w:tcPr>
          <w:p w14:paraId="0F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0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8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1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2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3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c>
          <w:tcPr>
            <w:tcW w:type="dxa" w:w="209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4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Муниципальный долг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5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6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7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8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9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A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B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C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D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8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75"/>
              <w:left w:type="dxa" w:w="0"/>
              <w:bottom w:type="dxa" w:w="75"/>
              <w:right w:type="dxa" w:w="0"/>
            </w:tcMar>
          </w:tcPr>
          <w:p w14:paraId="1E010000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F010000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838"/>
            <w:tcBorders>
              <w:top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0010000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1010000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77"/>
            <w:tcBorders>
              <w:top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2010000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</w:tbl>
    <w:p w14:paraId="23010000">
      <w:pPr>
        <w:widowControl w:val="0"/>
        <w:ind/>
        <w:rPr>
          <w:b w:val="1"/>
          <w:sz w:val="24"/>
        </w:rPr>
      </w:pPr>
      <w:r>
        <w:rPr>
          <w:b w:val="1"/>
          <w:sz w:val="24"/>
        </w:rPr>
        <w:t>-</w:t>
      </w:r>
    </w:p>
    <w:p w14:paraId="24010000">
      <w:pPr>
        <w:tabs>
          <w:tab w:leader="none" w:pos="0" w:val="left"/>
        </w:tabs>
        <w:spacing w:line="252" w:lineRule="auto"/>
        <w:ind w:firstLine="709" w:left="0"/>
        <w:jc w:val="both"/>
        <w:rPr>
          <w:sz w:val="24"/>
        </w:rPr>
      </w:pPr>
      <w:r>
        <w:rPr>
          <w:sz w:val="24"/>
        </w:rPr>
        <w:t> </w:t>
      </w:r>
      <w:r>
        <w:rPr>
          <w:sz w:val="24"/>
        </w:rPr>
        <w:t>* В расходах бюджета поселения выделены расходы за исключением условно утвержденных расходов на плановый период 2026 – 2036 годов в соответствии с методикой расчета, предусмотренной приказом министерства финансов Ростовской области от 15.06.2016 № 49 «О порядке взаимодействия структурных подразделений министерства финансов Ростовской области при подготовке бюджетного прогноза Ростовской области на долгосрочный период», на 2026 год условно утвержденные расходы составляют 2,5 процента от общего</w:t>
      </w:r>
      <w:r>
        <w:rPr>
          <w:sz w:val="24"/>
        </w:rPr>
        <w:t xml:space="preserve"> объема расходов за исключением расходов, предусмотренных за счет целевых средств из федерального бюджета, на 2025 год – 5,0 процента от общего объема расходов за исключением расходов, предусмотренных за счет целевых средств из федерального бюджета, далее – по годам с увеличением на 2,5 процента ежегодно.</w:t>
      </w:r>
    </w:p>
    <w:p w14:paraId="25010000">
      <w:pPr>
        <w:tabs>
          <w:tab w:leader="none" w:pos="0" w:val="left"/>
        </w:tabs>
        <w:spacing w:line="228" w:lineRule="auto"/>
        <w:ind w:firstLine="709" w:left="0"/>
        <w:jc w:val="both"/>
        <w:rPr>
          <w:sz w:val="24"/>
        </w:rPr>
      </w:pPr>
      <w:r>
        <w:br w:type="page"/>
      </w:r>
    </w:p>
    <w:p w14:paraId="26010000">
      <w:pPr>
        <w:widowControl w:val="0"/>
        <w:ind/>
        <w:jc w:val="center"/>
        <w:rPr>
          <w:sz w:val="28"/>
        </w:rPr>
      </w:pPr>
      <w:r>
        <w:rPr>
          <w:sz w:val="28"/>
        </w:rPr>
        <w:t xml:space="preserve">2.1. Показатели финансового обеспечения муниципальных программ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</w:t>
      </w:r>
    </w:p>
    <w:p w14:paraId="27010000">
      <w:pPr>
        <w:widowControl w:val="0"/>
        <w:tabs>
          <w:tab w:leader="none" w:pos="12750" w:val="left"/>
        </w:tabs>
        <w:ind/>
        <w:rPr>
          <w:sz w:val="24"/>
        </w:rPr>
      </w:pPr>
      <w:r>
        <w:rPr>
          <w:sz w:val="24"/>
        </w:rPr>
        <w:tab/>
      </w:r>
      <w:r>
        <w:rPr>
          <w:sz w:val="24"/>
        </w:rPr>
        <w:t>(</w:t>
      </w:r>
      <w:r>
        <w:rPr>
          <w:sz w:val="24"/>
        </w:rPr>
        <w:t>тыс</w:t>
      </w:r>
      <w:r>
        <w:rPr>
          <w:sz w:val="24"/>
        </w:rPr>
        <w:t>.р</w:t>
      </w:r>
      <w:r>
        <w:rPr>
          <w:sz w:val="24"/>
        </w:rPr>
        <w:t>уб</w:t>
      </w:r>
      <w:r>
        <w:rPr>
          <w:sz w:val="24"/>
        </w:rPr>
        <w:t>.)</w:t>
      </w:r>
    </w:p>
    <w:p w14:paraId="28010000">
      <w:pPr>
        <w:tabs>
          <w:tab w:leader="none" w:pos="0" w:val="left"/>
        </w:tabs>
        <w:spacing w:line="252" w:lineRule="auto"/>
        <w:ind w:firstLine="709" w:left="0"/>
        <w:jc w:val="both"/>
        <w:rPr>
          <w:sz w:val="24"/>
        </w:rPr>
      </w:pPr>
    </w:p>
    <w:tbl>
      <w:tblPr>
        <w:tblStyle w:val="Style_5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top w:type="dxa" w:w="102"/>
          <w:left w:type="dxa" w:w="62"/>
          <w:bottom w:type="dxa" w:w="102"/>
          <w:right w:type="dxa" w:w="62"/>
        </w:tblCellMar>
      </w:tblPr>
      <w:tblGrid>
        <w:gridCol w:w="2946"/>
        <w:gridCol w:w="847"/>
        <w:gridCol w:w="848"/>
        <w:gridCol w:w="987"/>
        <w:gridCol w:w="847"/>
        <w:gridCol w:w="848"/>
        <w:gridCol w:w="987"/>
        <w:gridCol w:w="987"/>
        <w:gridCol w:w="988"/>
        <w:gridCol w:w="847"/>
        <w:gridCol w:w="825"/>
        <w:gridCol w:w="855"/>
        <w:gridCol w:w="987"/>
        <w:gridCol w:w="847"/>
        <w:gridCol w:w="890"/>
      </w:tblGrid>
      <w:tr>
        <w:trPr>
          <w:trHeight w:hRule="atLeast" w:val="176"/>
          <w:tblHeader/>
        </w:trPr>
        <w:tc>
          <w:tcPr>
            <w:tcW w:type="dxa" w:w="15535"/>
            <w:gridSpan w:val="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29010000">
            <w:pPr>
              <w:pStyle w:val="Style_6"/>
              <w:ind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Расходы на финансовое обеспечение реализации муниципальных программ </w:t>
            </w:r>
            <w:r>
              <w:rPr>
                <w:rFonts w:ascii="Times New Roman" w:hAnsi="Times New Roman"/>
                <w:sz w:val="22"/>
              </w:rPr>
              <w:t>Кринично-Лугского</w:t>
            </w:r>
            <w:r>
              <w:rPr>
                <w:rFonts w:ascii="Times New Roman" w:hAnsi="Times New Roman"/>
                <w:sz w:val="22"/>
              </w:rPr>
              <w:t xml:space="preserve"> сельского поселения</w:t>
            </w:r>
            <w:r>
              <w:rPr>
                <w:sz w:val="24"/>
                <w:vertAlign w:val="superscript"/>
              </w:rPr>
              <w:t>1</w:t>
            </w:r>
          </w:p>
        </w:tc>
      </w:tr>
      <w:tr>
        <w:trPr>
          <w:trHeight w:hRule="atLeast" w:val="214"/>
          <w:tblHeader/>
        </w:trPr>
        <w:tc>
          <w:tcPr>
            <w:tcW w:type="dxa" w:w="294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2A010000">
            <w:pPr>
              <w:pStyle w:val="Style_6"/>
              <w:ind w:firstLine="58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Наименование муниципальной программы </w:t>
            </w:r>
            <w:r>
              <w:rPr>
                <w:rFonts w:ascii="Times New Roman" w:hAnsi="Times New Roman"/>
                <w:sz w:val="22"/>
              </w:rPr>
              <w:t>Кринично-Лугского</w:t>
            </w:r>
            <w:r>
              <w:rPr>
                <w:rFonts w:ascii="Times New Roman" w:hAnsi="Times New Roman"/>
                <w:sz w:val="22"/>
              </w:rPr>
              <w:t xml:space="preserve"> сельского поселения</w:t>
            </w:r>
          </w:p>
        </w:tc>
        <w:tc>
          <w:tcPr>
            <w:tcW w:type="dxa" w:w="12590"/>
            <w:gridSpan w:val="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2B010000">
            <w:pPr>
              <w:pStyle w:val="Style_6"/>
              <w:ind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Год периода прогнозирования</w:t>
            </w:r>
          </w:p>
        </w:tc>
      </w:tr>
      <w:tr>
        <w:trPr>
          <w:trHeight w:hRule="atLeast" w:val="483"/>
          <w:tblHeader/>
        </w:trPr>
        <w:tc>
          <w:tcPr>
            <w:tcW w:type="dxa" w:w="29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/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2C010000">
            <w:pPr>
              <w:pStyle w:val="Style_6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2023</w:t>
            </w:r>
            <w:r>
              <w:rPr>
                <w:sz w:val="24"/>
                <w:vertAlign w:val="superscript"/>
              </w:rPr>
              <w:t>2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2D010000">
            <w:pPr>
              <w:pStyle w:val="Style_6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2024</w:t>
            </w:r>
            <w:r>
              <w:rPr>
                <w:sz w:val="24"/>
                <w:vertAlign w:val="superscript"/>
              </w:rPr>
              <w:t>3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2E010000">
            <w:pPr>
              <w:pStyle w:val="Style_6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2025</w:t>
            </w:r>
            <w:r>
              <w:rPr>
                <w:sz w:val="24"/>
                <w:vertAlign w:val="superscript"/>
              </w:rPr>
              <w:t>4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2F010000">
            <w:pPr>
              <w:pStyle w:val="Style_6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2026</w:t>
            </w:r>
            <w:r>
              <w:rPr>
                <w:sz w:val="24"/>
                <w:vertAlign w:val="superscript"/>
              </w:rPr>
              <w:t>4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0010000">
            <w:pPr>
              <w:pStyle w:val="Style_6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2027</w:t>
            </w:r>
            <w:r>
              <w:rPr>
                <w:sz w:val="24"/>
                <w:vertAlign w:val="superscript"/>
              </w:rPr>
              <w:t>4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1010000">
            <w:pPr>
              <w:pStyle w:val="Style_6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2028</w:t>
            </w:r>
            <w:r>
              <w:rPr>
                <w:rFonts w:ascii="Times New Roman" w:hAnsi="Times New Roman"/>
                <w:vertAlign w:val="superscript"/>
              </w:rPr>
              <w:t>5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2010000">
            <w:pPr>
              <w:pStyle w:val="Style_6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2029</w:t>
            </w:r>
            <w:r>
              <w:rPr>
                <w:sz w:val="24"/>
                <w:vertAlign w:val="superscript"/>
              </w:rPr>
              <w:t>5</w:t>
            </w:r>
          </w:p>
        </w:tc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3010000">
            <w:pPr>
              <w:pStyle w:val="Style_6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2030</w:t>
            </w:r>
            <w:r>
              <w:rPr>
                <w:sz w:val="24"/>
                <w:vertAlign w:val="superscript"/>
              </w:rPr>
              <w:t>5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4010000">
            <w:pPr>
              <w:pStyle w:val="Style_6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2031</w:t>
            </w:r>
          </w:p>
        </w:tc>
        <w:tc>
          <w:tcPr>
            <w:tcW w:type="dxa" w:w="8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5010000">
            <w:pPr>
              <w:pStyle w:val="Style_6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2032</w:t>
            </w:r>
          </w:p>
        </w:tc>
        <w:tc>
          <w:tcPr>
            <w:tcW w:type="dxa" w:w="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6010000">
            <w:pPr>
              <w:pStyle w:val="Style_6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2033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7010000">
            <w:pPr>
              <w:pStyle w:val="Style_6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2034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8010000">
            <w:pPr>
              <w:pStyle w:val="Style_6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2035</w:t>
            </w:r>
          </w:p>
        </w:tc>
        <w:tc>
          <w:tcPr>
            <w:tcW w:type="dxa" w:w="8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9010000">
            <w:pPr>
              <w:pStyle w:val="Style_6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2036</w:t>
            </w:r>
          </w:p>
        </w:tc>
      </w:tr>
      <w:tr>
        <w:trPr>
          <w:trHeight w:hRule="atLeast" w:val="316"/>
        </w:trPr>
        <w:tc>
          <w:tcPr>
            <w:tcW w:type="dxa" w:w="29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bottom"/>
          </w:tcPr>
          <w:p w14:paraId="3A010000">
            <w:pPr>
              <w:rPr>
                <w:sz w:val="22"/>
              </w:rPr>
            </w:pPr>
            <w:r>
              <w:rPr>
                <w:sz w:val="22"/>
              </w:rPr>
              <w:t xml:space="preserve"> Развитие культуры и туризма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B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13 056,4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C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14 143,1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D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16 624,1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E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12 420,9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F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4 825,2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0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5 018,2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1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5 218,9</w:t>
            </w:r>
          </w:p>
        </w:tc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2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5 427,6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3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-</w:t>
            </w:r>
          </w:p>
        </w:tc>
        <w:tc>
          <w:tcPr>
            <w:tcW w:type="dxa" w:w="8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4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-</w:t>
            </w:r>
          </w:p>
        </w:tc>
        <w:tc>
          <w:tcPr>
            <w:tcW w:type="dxa" w:w="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5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-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6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-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7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-</w:t>
            </w:r>
          </w:p>
        </w:tc>
        <w:tc>
          <w:tcPr>
            <w:tcW w:type="dxa" w:w="8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8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-</w:t>
            </w:r>
          </w:p>
        </w:tc>
      </w:tr>
      <w:tr>
        <w:trPr>
          <w:trHeight w:hRule="atLeast" w:val="679"/>
        </w:trPr>
        <w:tc>
          <w:tcPr>
            <w:tcW w:type="dxa" w:w="29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bottom"/>
          </w:tcPr>
          <w:p w14:paraId="49010000">
            <w:pPr>
              <w:rPr>
                <w:sz w:val="22"/>
              </w:rPr>
            </w:pPr>
            <w:r>
              <w:rPr>
                <w:sz w:val="22"/>
              </w:rPr>
              <w:t xml:space="preserve"> Развитие физической культуры и спорта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A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10,0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B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10,0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C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10,0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D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</w:t>
            </w:r>
            <w:r>
              <w:rPr>
                <w:rFonts w:ascii="Times New Roman" w:hAnsi="Times New Roman"/>
                <w:spacing w:val="-20"/>
              </w:rPr>
              <w:t>0,0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E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</w:t>
            </w:r>
            <w:r>
              <w:rPr>
                <w:rFonts w:ascii="Times New Roman" w:hAnsi="Times New Roman"/>
                <w:spacing w:val="-20"/>
              </w:rPr>
              <w:t>0,0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F010000">
            <w:pPr>
              <w:ind/>
              <w:jc w:val="center"/>
            </w:pPr>
            <w:r>
              <w:rPr>
                <w:spacing w:val="-20"/>
              </w:rPr>
              <w:t>10,4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0010000">
            <w:pPr>
              <w:ind/>
              <w:jc w:val="center"/>
            </w:pPr>
            <w:r>
              <w:rPr>
                <w:spacing w:val="-20"/>
              </w:rPr>
              <w:t>10,8</w:t>
            </w:r>
          </w:p>
        </w:tc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1010000">
            <w:pPr>
              <w:ind/>
              <w:jc w:val="center"/>
            </w:pPr>
            <w:r>
              <w:rPr>
                <w:spacing w:val="-20"/>
              </w:rPr>
              <w:t>11,2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2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3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4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5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6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7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</w:tr>
      <w:tr>
        <w:trPr>
          <w:trHeight w:hRule="atLeast" w:val="938"/>
        </w:trPr>
        <w:tc>
          <w:tcPr>
            <w:tcW w:type="dxa" w:w="29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bottom"/>
          </w:tcPr>
          <w:p w14:paraId="58010000">
            <w:pPr>
              <w:rPr>
                <w:sz w:val="22"/>
              </w:rPr>
            </w:pPr>
            <w:r>
              <w:rPr>
                <w:sz w:val="22"/>
              </w:rPr>
              <w:t xml:space="preserve"> Обеспечение качественными жилищно-коммунальными услугами населения </w:t>
            </w:r>
            <w:r>
              <w:rPr>
                <w:sz w:val="22"/>
              </w:rPr>
              <w:t>Кринично-Лугского</w:t>
            </w:r>
            <w:r>
              <w:rPr>
                <w:sz w:val="22"/>
              </w:rPr>
              <w:t xml:space="preserve"> сельского поселения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9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2 781,4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A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2 648,9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B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2 343,1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C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1 285,0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D010000">
            <w:pPr>
              <w:ind/>
              <w:jc w:val="center"/>
            </w:pPr>
            <w:r>
              <w:rPr>
                <w:spacing w:val="-20"/>
              </w:rPr>
              <w:t>1 335,9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E010000">
            <w:pPr>
              <w:ind/>
              <w:jc w:val="center"/>
            </w:pPr>
            <w:r>
              <w:rPr>
                <w:spacing w:val="-20"/>
              </w:rPr>
              <w:t>1 389,3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F010000">
            <w:pPr>
              <w:ind/>
              <w:jc w:val="center"/>
            </w:pPr>
            <w:r>
              <w:rPr>
                <w:spacing w:val="-20"/>
              </w:rPr>
              <w:t>1 444,9</w:t>
            </w:r>
          </w:p>
        </w:tc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0010000">
            <w:pPr>
              <w:ind/>
              <w:jc w:val="center"/>
            </w:pPr>
            <w:r>
              <w:rPr>
                <w:spacing w:val="-20"/>
              </w:rPr>
              <w:t>1 502,7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1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2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3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4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5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6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</w:tr>
      <w:tr>
        <w:trPr>
          <w:trHeight w:hRule="atLeast" w:val="474"/>
        </w:trPr>
        <w:tc>
          <w:tcPr>
            <w:tcW w:type="dxa" w:w="29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bottom"/>
          </w:tcPr>
          <w:p w14:paraId="67010000">
            <w:pPr>
              <w:rPr>
                <w:sz w:val="22"/>
              </w:rPr>
            </w:pPr>
            <w:r>
              <w:rPr>
                <w:sz w:val="22"/>
              </w:rPr>
              <w:t>Охрана окружающей среды и рациональное природопользование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8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31,1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9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46,7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A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46,7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B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0,0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C010000">
            <w:pPr>
              <w:ind/>
              <w:jc w:val="center"/>
            </w:pPr>
            <w:r>
              <w:rPr>
                <w:spacing w:val="-20"/>
              </w:rPr>
              <w:t>0,0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D010000">
            <w:pPr>
              <w:ind/>
              <w:jc w:val="center"/>
            </w:pPr>
            <w:r>
              <w:rPr>
                <w:spacing w:val="-20"/>
              </w:rPr>
              <w:t>0,0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E010000">
            <w:pPr>
              <w:ind/>
              <w:jc w:val="center"/>
            </w:pPr>
            <w:r>
              <w:rPr>
                <w:spacing w:val="-20"/>
              </w:rPr>
              <w:t>0,0</w:t>
            </w:r>
          </w:p>
        </w:tc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F010000">
            <w:pPr>
              <w:ind/>
              <w:jc w:val="center"/>
            </w:pPr>
            <w:r>
              <w:rPr>
                <w:spacing w:val="-20"/>
              </w:rPr>
              <w:t>0,0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0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1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2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3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4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5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</w:tr>
      <w:tr>
        <w:trPr>
          <w:trHeight w:hRule="atLeast" w:val="474"/>
        </w:trPr>
        <w:tc>
          <w:tcPr>
            <w:tcW w:type="dxa" w:w="29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bottom"/>
          </w:tcPr>
          <w:p w14:paraId="76010000">
            <w:pPr>
              <w:rPr>
                <w:sz w:val="22"/>
              </w:rPr>
            </w:pPr>
            <w:r>
              <w:rPr>
                <w:sz w:val="22"/>
              </w:rPr>
              <w:t xml:space="preserve">Обеспечение общественного порядка и противодействие преступности 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7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2,0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8010000">
            <w:pPr>
              <w:ind/>
              <w:jc w:val="center"/>
            </w:pPr>
            <w:r>
              <w:rPr>
                <w:spacing w:val="-20"/>
              </w:rPr>
              <w:t>2,0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9010000">
            <w:pPr>
              <w:ind/>
              <w:jc w:val="center"/>
            </w:pPr>
            <w:r>
              <w:rPr>
                <w:spacing w:val="-20"/>
              </w:rPr>
              <w:t>2,0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A010000">
            <w:pPr>
              <w:ind/>
              <w:jc w:val="center"/>
            </w:pPr>
            <w:r>
              <w:rPr>
                <w:spacing w:val="-20"/>
              </w:rPr>
              <w:t>2,0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B010000">
            <w:pPr>
              <w:ind/>
              <w:jc w:val="center"/>
            </w:pPr>
            <w:r>
              <w:rPr>
                <w:spacing w:val="-20"/>
              </w:rPr>
              <w:t>2</w:t>
            </w:r>
            <w:r>
              <w:rPr>
                <w:spacing w:val="-20"/>
              </w:rPr>
              <w:t>,0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C010000">
            <w:pPr>
              <w:ind/>
              <w:jc w:val="center"/>
            </w:pPr>
            <w:r>
              <w:rPr>
                <w:spacing w:val="-20"/>
              </w:rPr>
              <w:t>2</w:t>
            </w:r>
            <w:r>
              <w:rPr>
                <w:spacing w:val="-20"/>
              </w:rPr>
              <w:t>,0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D010000">
            <w:pPr>
              <w:ind/>
              <w:jc w:val="center"/>
            </w:pPr>
            <w:r>
              <w:rPr>
                <w:spacing w:val="-20"/>
              </w:rPr>
              <w:t>2,1</w:t>
            </w:r>
          </w:p>
        </w:tc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E010000">
            <w:pPr>
              <w:ind/>
              <w:jc w:val="center"/>
            </w:pPr>
            <w:r>
              <w:rPr>
                <w:spacing w:val="-20"/>
              </w:rPr>
              <w:t>2,2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F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0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1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2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3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4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</w:tr>
      <w:tr>
        <w:trPr>
          <w:trHeight w:hRule="atLeast" w:val="158"/>
        </w:trPr>
        <w:tc>
          <w:tcPr>
            <w:tcW w:type="dxa" w:w="29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bottom"/>
          </w:tcPr>
          <w:p w14:paraId="85010000">
            <w:pPr>
              <w:rPr>
                <w:sz w:val="22"/>
              </w:rPr>
            </w:pPr>
            <w:r>
              <w:rPr>
                <w:sz w:val="22"/>
              </w:rPr>
              <w:t>Информационное общество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6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181,5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7010000">
            <w:pPr>
              <w:ind/>
              <w:jc w:val="center"/>
            </w:pPr>
            <w:r>
              <w:rPr>
                <w:spacing w:val="-20"/>
              </w:rPr>
              <w:t>197,7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8010000">
            <w:pPr>
              <w:ind/>
              <w:jc w:val="center"/>
            </w:pPr>
            <w:r>
              <w:rPr>
                <w:spacing w:val="-20"/>
              </w:rPr>
              <w:t>242,1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9010000">
            <w:pPr>
              <w:ind/>
              <w:jc w:val="center"/>
            </w:pPr>
            <w:r>
              <w:rPr>
                <w:spacing w:val="-20"/>
              </w:rPr>
              <w:t>10,0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A010000">
            <w:pPr>
              <w:ind/>
              <w:jc w:val="center"/>
            </w:pPr>
            <w:r>
              <w:rPr>
                <w:spacing w:val="-20"/>
              </w:rPr>
              <w:t>5,6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B010000">
            <w:pPr>
              <w:ind/>
              <w:jc w:val="center"/>
            </w:pPr>
            <w:r>
              <w:rPr>
                <w:spacing w:val="-20"/>
              </w:rPr>
              <w:t>5,8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C010000">
            <w:pPr>
              <w:ind/>
              <w:jc w:val="center"/>
            </w:pPr>
            <w:r>
              <w:rPr>
                <w:spacing w:val="-20"/>
              </w:rPr>
              <w:t>6,1</w:t>
            </w:r>
          </w:p>
        </w:tc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D010000">
            <w:pPr>
              <w:ind/>
              <w:jc w:val="center"/>
            </w:pPr>
            <w:r>
              <w:rPr>
                <w:spacing w:val="-20"/>
              </w:rPr>
              <w:t>6,3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E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8F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0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1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2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3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</w:tr>
      <w:tr>
        <w:trPr>
          <w:trHeight w:hRule="atLeast" w:val="316"/>
        </w:trPr>
        <w:tc>
          <w:tcPr>
            <w:tcW w:type="dxa" w:w="29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bottom"/>
          </w:tcPr>
          <w:p w14:paraId="94010000">
            <w:pPr>
              <w:rPr>
                <w:sz w:val="22"/>
              </w:rPr>
            </w:pPr>
            <w:r>
              <w:rPr>
                <w:sz w:val="22"/>
              </w:rPr>
              <w:t>Энергоэффективность</w:t>
            </w:r>
            <w:r>
              <w:rPr>
                <w:sz w:val="22"/>
              </w:rPr>
              <w:t xml:space="preserve"> и развитие энергетики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5010000">
            <w:pPr>
              <w:pStyle w:val="Style_6"/>
              <w:ind w:firstLine="0" w:left="0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10,0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6010000">
            <w:pPr>
              <w:ind/>
              <w:jc w:val="center"/>
            </w:pPr>
            <w:r>
              <w:rPr>
                <w:spacing w:val="-20"/>
              </w:rPr>
              <w:t>10,0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7010000">
            <w:pPr>
              <w:ind/>
              <w:jc w:val="center"/>
            </w:pPr>
            <w:r>
              <w:rPr>
                <w:spacing w:val="-20"/>
              </w:rPr>
              <w:t>10,0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8010000">
            <w:pPr>
              <w:ind/>
              <w:jc w:val="center"/>
            </w:pPr>
            <w:r>
              <w:rPr>
                <w:spacing w:val="-20"/>
              </w:rPr>
              <w:t>10,0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9010000">
            <w:pPr>
              <w:ind/>
              <w:jc w:val="center"/>
            </w:pPr>
            <w:r>
              <w:rPr>
                <w:spacing w:val="-20"/>
              </w:rPr>
              <w:t>1</w:t>
            </w:r>
            <w:r>
              <w:rPr>
                <w:spacing w:val="-20"/>
              </w:rPr>
              <w:t>0,0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A010000">
            <w:pPr>
              <w:ind/>
              <w:jc w:val="center"/>
            </w:pPr>
            <w:r>
              <w:rPr>
                <w:spacing w:val="-20"/>
              </w:rPr>
              <w:t>10,4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B010000">
            <w:pPr>
              <w:ind/>
              <w:jc w:val="center"/>
            </w:pPr>
            <w:r>
              <w:rPr>
                <w:spacing w:val="-20"/>
              </w:rPr>
              <w:t>10,8</w:t>
            </w:r>
          </w:p>
        </w:tc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C010000">
            <w:pPr>
              <w:ind/>
              <w:jc w:val="center"/>
            </w:pPr>
            <w:r>
              <w:rPr>
                <w:spacing w:val="-20"/>
              </w:rPr>
              <w:t>11,2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D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E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9F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A0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A1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A2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</w:tr>
      <w:tr>
        <w:trPr>
          <w:trHeight w:hRule="atLeast" w:val="158"/>
        </w:trPr>
        <w:tc>
          <w:tcPr>
            <w:tcW w:type="dxa" w:w="29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bottom"/>
          </w:tcPr>
          <w:p w14:paraId="A3010000">
            <w:pPr>
              <w:rPr>
                <w:sz w:val="22"/>
              </w:rPr>
            </w:pPr>
            <w:r>
              <w:rPr>
                <w:sz w:val="22"/>
              </w:rPr>
              <w:t>Доступная среда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A4010000">
            <w:pPr>
              <w:pStyle w:val="Style_6"/>
              <w:ind w:firstLine="0" w:left="0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5,0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A5010000">
            <w:pPr>
              <w:ind/>
              <w:jc w:val="center"/>
              <w:rPr>
                <w:spacing w:val="-20"/>
              </w:rPr>
            </w:pPr>
            <w:r>
              <w:rPr>
                <w:spacing w:val="-20"/>
              </w:rPr>
              <w:t>5,0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A6010000">
            <w:pPr>
              <w:ind/>
              <w:jc w:val="center"/>
              <w:rPr>
                <w:spacing w:val="-20"/>
              </w:rPr>
            </w:pPr>
            <w:r>
              <w:rPr>
                <w:spacing w:val="-20"/>
              </w:rPr>
              <w:t>х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A7010000">
            <w:pPr>
              <w:ind/>
              <w:jc w:val="center"/>
              <w:rPr>
                <w:spacing w:val="-20"/>
              </w:rPr>
            </w:pPr>
            <w:r>
              <w:rPr>
                <w:spacing w:val="-20"/>
              </w:rPr>
              <w:t>х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A8010000">
            <w:pPr>
              <w:ind/>
              <w:jc w:val="center"/>
              <w:rPr>
                <w:spacing w:val="-20"/>
              </w:rPr>
            </w:pPr>
            <w:r>
              <w:rPr>
                <w:spacing w:val="-20"/>
              </w:rPr>
              <w:t>х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A9010000">
            <w:pPr>
              <w:ind/>
              <w:jc w:val="center"/>
              <w:rPr>
                <w:spacing w:val="-20"/>
              </w:rPr>
            </w:pPr>
            <w:r>
              <w:rPr>
                <w:spacing w:val="-20"/>
              </w:rPr>
              <w:t>х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AA010000">
            <w:pPr>
              <w:ind/>
              <w:jc w:val="center"/>
              <w:rPr>
                <w:spacing w:val="-20"/>
              </w:rPr>
            </w:pPr>
            <w:r>
              <w:rPr>
                <w:spacing w:val="-20"/>
              </w:rPr>
              <w:t>х</w:t>
            </w:r>
          </w:p>
        </w:tc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AB010000">
            <w:pPr>
              <w:ind/>
              <w:jc w:val="center"/>
              <w:rPr>
                <w:spacing w:val="-20"/>
              </w:rPr>
            </w:pPr>
            <w:r>
              <w:rPr>
                <w:spacing w:val="-20"/>
              </w:rPr>
              <w:t>х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AC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</w:p>
        </w:tc>
        <w:tc>
          <w:tcPr>
            <w:tcW w:type="dxa" w:w="8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AD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</w:p>
        </w:tc>
        <w:tc>
          <w:tcPr>
            <w:tcW w:type="dxa" w:w="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AE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AF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B0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</w:p>
        </w:tc>
        <w:tc>
          <w:tcPr>
            <w:tcW w:type="dxa" w:w="8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B1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</w:p>
        </w:tc>
      </w:tr>
      <w:tr>
        <w:trPr>
          <w:trHeight w:hRule="atLeast" w:val="1096"/>
        </w:trPr>
        <w:tc>
          <w:tcPr>
            <w:tcW w:type="dxa" w:w="29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bottom"/>
          </w:tcPr>
          <w:p w14:paraId="B2010000">
            <w:pPr>
              <w:rPr>
                <w:sz w:val="22"/>
              </w:rPr>
            </w:pPr>
            <w:r>
              <w:rPr>
                <w:sz w:val="22"/>
              </w:rPr>
              <w:t xml:space="preserve"> 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B3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70,0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B4010000">
            <w:pPr>
              <w:ind/>
              <w:jc w:val="center"/>
            </w:pPr>
            <w:r>
              <w:rPr>
                <w:spacing w:val="-20"/>
              </w:rPr>
              <w:t>109,2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B5010000">
            <w:pPr>
              <w:ind/>
              <w:jc w:val="center"/>
            </w:pPr>
            <w:r>
              <w:rPr>
                <w:spacing w:val="-20"/>
              </w:rPr>
              <w:t>7</w:t>
            </w:r>
            <w:r>
              <w:rPr>
                <w:spacing w:val="-20"/>
              </w:rPr>
              <w:t>6,1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B6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</w:t>
            </w:r>
            <w:r>
              <w:rPr>
                <w:rFonts w:ascii="Times New Roman" w:hAnsi="Times New Roman"/>
                <w:spacing w:val="-20"/>
              </w:rPr>
              <w:t>0,0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B7010000">
            <w:pPr>
              <w:ind/>
              <w:jc w:val="center"/>
            </w:pPr>
            <w:r>
              <w:rPr>
                <w:spacing w:val="-20"/>
              </w:rPr>
              <w:t>10</w:t>
            </w:r>
            <w:r>
              <w:rPr>
                <w:spacing w:val="-20"/>
              </w:rPr>
              <w:t>,0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B8010000">
            <w:pPr>
              <w:ind/>
              <w:jc w:val="center"/>
            </w:pPr>
            <w:r>
              <w:rPr>
                <w:spacing w:val="-20"/>
              </w:rPr>
              <w:t>10,4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B9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10,8</w:t>
            </w:r>
          </w:p>
        </w:tc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BA010000">
            <w:pPr>
              <w:ind/>
              <w:jc w:val="center"/>
            </w:pPr>
            <w:r>
              <w:rPr>
                <w:spacing w:val="-20"/>
              </w:rPr>
              <w:t>11,2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BB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BC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BD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BE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BF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C0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</w:tr>
      <w:tr>
        <w:trPr>
          <w:trHeight w:hRule="atLeast" w:val="167"/>
        </w:trPr>
        <w:tc>
          <w:tcPr>
            <w:tcW w:type="dxa" w:w="29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bottom"/>
          </w:tcPr>
          <w:p w14:paraId="C1010000">
            <w:pPr>
              <w:rPr>
                <w:sz w:val="22"/>
              </w:rPr>
            </w:pPr>
            <w:r>
              <w:rPr>
                <w:sz w:val="22"/>
              </w:rPr>
              <w:t>Муниципальная политика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C2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9 940,0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C3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10 193,6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C4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12 156,9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C5010000">
            <w:pPr>
              <w:pStyle w:val="Style_6"/>
              <w:ind w:firstLine="0" w:left="0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11 694,0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6010000">
            <w:pPr>
              <w:ind/>
              <w:jc w:val="center"/>
            </w:pPr>
            <w:r>
              <w:rPr>
                <w:spacing w:val="-20"/>
              </w:rPr>
              <w:t>12 054,9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7010000">
            <w:pPr>
              <w:ind/>
              <w:jc w:val="center"/>
            </w:pPr>
            <w:r>
              <w:rPr>
                <w:spacing w:val="-20"/>
              </w:rPr>
              <w:t>12</w:t>
            </w:r>
            <w:r>
              <w:rPr>
                <w:spacing w:val="-20"/>
              </w:rPr>
              <w:t> </w:t>
            </w:r>
            <w:r>
              <w:rPr>
                <w:spacing w:val="-20"/>
              </w:rPr>
              <w:t>537,</w:t>
            </w:r>
            <w:r>
              <w:rPr>
                <w:spacing w:val="-20"/>
              </w:rPr>
              <w:t>1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8010000">
            <w:pPr>
              <w:ind/>
              <w:jc w:val="center"/>
            </w:pPr>
            <w:r>
              <w:rPr>
                <w:spacing w:val="-20"/>
              </w:rPr>
              <w:t>13 038,5</w:t>
            </w:r>
          </w:p>
        </w:tc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9010000">
            <w:pPr>
              <w:ind/>
              <w:jc w:val="center"/>
            </w:pPr>
            <w:r>
              <w:rPr>
                <w:spacing w:val="-20"/>
              </w:rPr>
              <w:t>13 560,1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CA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CB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CC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CD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CE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CF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</w:tr>
      <w:tr>
        <w:trPr>
          <w:trHeight w:hRule="atLeast" w:val="780"/>
        </w:trPr>
        <w:tc>
          <w:tcPr>
            <w:tcW w:type="dxa" w:w="29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D0010000">
            <w:pPr>
              <w:pStyle w:val="Style_6"/>
              <w:ind w:firstLine="58" w:left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Формирование современной городской среды на территории </w:t>
            </w:r>
            <w:r>
              <w:rPr>
                <w:rFonts w:ascii="Times New Roman" w:hAnsi="Times New Roman"/>
                <w:sz w:val="22"/>
              </w:rPr>
              <w:t>Кринично-Лугского</w:t>
            </w:r>
            <w:r>
              <w:rPr>
                <w:rFonts w:ascii="Times New Roman" w:hAnsi="Times New Roman"/>
                <w:sz w:val="22"/>
              </w:rPr>
              <w:t xml:space="preserve"> сельского поселения 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D1010000">
            <w:pPr>
              <w:pStyle w:val="Style_6"/>
              <w:ind w:firstLine="0" w:left="0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0,0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D2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50,0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D3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50,0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D4010000">
            <w:pPr>
              <w:ind/>
              <w:jc w:val="center"/>
            </w:pPr>
            <w:r>
              <w:t>0,0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D5010000">
            <w:pPr>
              <w:ind/>
              <w:jc w:val="center"/>
            </w:pPr>
            <w:r>
              <w:t>0,0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D6010000">
            <w:pPr>
              <w:ind/>
              <w:jc w:val="center"/>
            </w:pPr>
            <w:r>
              <w:t>0,0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D7010000">
            <w:pPr>
              <w:ind/>
              <w:jc w:val="center"/>
            </w:pPr>
            <w:r>
              <w:t>0,0</w:t>
            </w:r>
          </w:p>
        </w:tc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D8010000">
            <w:pPr>
              <w:ind/>
              <w:jc w:val="center"/>
            </w:pPr>
            <w:r>
              <w:t>0,0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D9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DA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DB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DC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DD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type="dxa" w:w="8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DE010000">
            <w:pPr>
              <w:widowControl w:val="0"/>
              <w:ind/>
              <w:jc w:val="center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</w:tr>
      <w:tr>
        <w:trPr>
          <w:trHeight w:hRule="atLeast" w:val="158"/>
        </w:trPr>
        <w:tc>
          <w:tcPr>
            <w:tcW w:type="dxa" w:w="29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DF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Социальная поддержка граждан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E0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0,0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E1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0,0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E2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155,6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E3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174,4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E4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194,1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E5010000">
            <w:pPr>
              <w:ind/>
              <w:jc w:val="center"/>
              <w:rPr>
                <w:spacing w:val="-20"/>
              </w:rPr>
            </w:pPr>
            <w:r>
              <w:rPr>
                <w:spacing w:val="-20"/>
              </w:rPr>
              <w:t>201,9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E6010000">
            <w:pPr>
              <w:ind/>
              <w:jc w:val="center"/>
              <w:rPr>
                <w:spacing w:val="-20"/>
              </w:rPr>
            </w:pPr>
            <w:r>
              <w:rPr>
                <w:spacing w:val="-20"/>
              </w:rPr>
              <w:t>209,9</w:t>
            </w:r>
          </w:p>
        </w:tc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E7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pacing w:val="-20"/>
              </w:rPr>
            </w:pPr>
            <w:r>
              <w:rPr>
                <w:rFonts w:ascii="Times New Roman" w:hAnsi="Times New Roman"/>
                <w:spacing w:val="-20"/>
              </w:rPr>
              <w:t>218,4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E8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</w:rPr>
            </w:pPr>
          </w:p>
        </w:tc>
        <w:tc>
          <w:tcPr>
            <w:tcW w:type="dxa" w:w="8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E9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</w:rPr>
            </w:pPr>
          </w:p>
        </w:tc>
        <w:tc>
          <w:tcPr>
            <w:tcW w:type="dxa" w:w="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EA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</w:rPr>
            </w:pP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EB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</w:rPr>
            </w:pP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EC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</w:rPr>
            </w:pPr>
          </w:p>
        </w:tc>
        <w:tc>
          <w:tcPr>
            <w:tcW w:type="dxa" w:w="8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ED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</w:rPr>
            </w:pPr>
          </w:p>
        </w:tc>
      </w:tr>
      <w:tr>
        <w:trPr>
          <w:trHeight w:hRule="atLeast" w:val="158"/>
        </w:trPr>
        <w:tc>
          <w:tcPr>
            <w:tcW w:type="dxa" w:w="29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EE010000">
            <w:pPr>
              <w:pStyle w:val="Style_6"/>
              <w:ind w:firstLine="0" w:left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Итого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EF010000">
            <w:pPr>
              <w:pStyle w:val="Style_6"/>
              <w:ind w:firstLine="0" w:left="0"/>
              <w:rPr>
                <w:rFonts w:ascii="Times New Roman" w:hAnsi="Times New Roman"/>
                <w:spacing w:val="-20"/>
                <w:sz w:val="22"/>
              </w:rPr>
            </w:pPr>
            <w:r>
              <w:rPr>
                <w:rFonts w:ascii="Times New Roman" w:hAnsi="Times New Roman"/>
                <w:spacing w:val="-20"/>
                <w:sz w:val="22"/>
              </w:rPr>
              <w:t>26 087,4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F0010000">
            <w:pPr>
              <w:pStyle w:val="Style_6"/>
              <w:ind w:firstLine="0" w:left="0"/>
              <w:rPr>
                <w:rFonts w:ascii="Times New Roman" w:hAnsi="Times New Roman"/>
                <w:spacing w:val="-20"/>
                <w:sz w:val="22"/>
              </w:rPr>
            </w:pPr>
            <w:r>
              <w:rPr>
                <w:rFonts w:ascii="Times New Roman" w:hAnsi="Times New Roman"/>
                <w:spacing w:val="-20"/>
                <w:sz w:val="22"/>
              </w:rPr>
              <w:t>27 416,2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F1010000">
            <w:pPr>
              <w:pStyle w:val="Style_6"/>
              <w:ind w:firstLine="0" w:left="0"/>
              <w:rPr>
                <w:rFonts w:ascii="Times New Roman" w:hAnsi="Times New Roman"/>
                <w:spacing w:val="-20"/>
                <w:sz w:val="22"/>
              </w:rPr>
            </w:pPr>
            <w:r>
              <w:rPr>
                <w:rFonts w:ascii="Times New Roman" w:hAnsi="Times New Roman"/>
                <w:spacing w:val="-20"/>
                <w:sz w:val="22"/>
              </w:rPr>
              <w:t>31 716,6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F2010000">
            <w:pPr>
              <w:pStyle w:val="Style_6"/>
              <w:ind w:firstLine="0" w:left="0"/>
              <w:rPr>
                <w:rFonts w:ascii="Times New Roman" w:hAnsi="Times New Roman"/>
                <w:spacing w:val="-20"/>
                <w:sz w:val="22"/>
              </w:rPr>
            </w:pPr>
            <w:r>
              <w:rPr>
                <w:rFonts w:ascii="Times New Roman" w:hAnsi="Times New Roman"/>
                <w:spacing w:val="-20"/>
                <w:sz w:val="22"/>
              </w:rPr>
              <w:t>25 616,3</w:t>
            </w:r>
          </w:p>
        </w:tc>
        <w:tc>
          <w:tcPr>
            <w:tcW w:type="dxa" w:w="8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F3010000">
            <w:pPr>
              <w:pStyle w:val="Style_6"/>
              <w:ind w:firstLine="0" w:left="0"/>
              <w:rPr>
                <w:rFonts w:ascii="Times New Roman" w:hAnsi="Times New Roman"/>
                <w:spacing w:val="-20"/>
                <w:sz w:val="22"/>
              </w:rPr>
            </w:pPr>
            <w:r>
              <w:rPr>
                <w:rFonts w:ascii="Times New Roman" w:hAnsi="Times New Roman"/>
                <w:spacing w:val="-20"/>
                <w:sz w:val="22"/>
              </w:rPr>
              <w:t>18</w:t>
            </w:r>
            <w:r>
              <w:rPr>
                <w:rFonts w:ascii="Times New Roman" w:hAnsi="Times New Roman"/>
                <w:spacing w:val="-20"/>
                <w:sz w:val="22"/>
              </w:rPr>
              <w:t> 447,7</w:t>
            </w:r>
            <w:bookmarkStart w:id="3" w:name="_GoBack"/>
            <w:bookmarkEnd w:id="3"/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F4010000">
            <w:pPr>
              <w:rPr>
                <w:sz w:val="22"/>
              </w:rPr>
            </w:pPr>
            <w:r>
              <w:rPr>
                <w:sz w:val="22"/>
              </w:rPr>
              <w:t>19 185,5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F5010000">
            <w:pPr>
              <w:rPr>
                <w:sz w:val="22"/>
              </w:rPr>
            </w:pPr>
            <w:r>
              <w:rPr>
                <w:sz w:val="22"/>
              </w:rPr>
              <w:t>19 952,8</w:t>
            </w:r>
          </w:p>
        </w:tc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F6010000">
            <w:pPr>
              <w:pStyle w:val="Style_6"/>
              <w:ind w:firstLine="0" w:left="0"/>
              <w:rPr>
                <w:rFonts w:ascii="Times New Roman" w:hAnsi="Times New Roman"/>
                <w:spacing w:val="-20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20 750,9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F7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  <w:sz w:val="22"/>
              </w:rPr>
            </w:pPr>
            <w:r>
              <w:rPr>
                <w:rFonts w:ascii="Times New Roman" w:hAnsi="Times New Roman"/>
                <w:spacing w:val="-20"/>
                <w:sz w:val="22"/>
              </w:rPr>
              <w:t>-</w:t>
            </w:r>
          </w:p>
        </w:tc>
        <w:tc>
          <w:tcPr>
            <w:tcW w:type="dxa" w:w="8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F8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  <w:sz w:val="22"/>
              </w:rPr>
            </w:pPr>
            <w:r>
              <w:rPr>
                <w:rFonts w:ascii="Times New Roman" w:hAnsi="Times New Roman"/>
                <w:spacing w:val="-20"/>
                <w:sz w:val="22"/>
              </w:rPr>
              <w:t>-</w:t>
            </w:r>
          </w:p>
        </w:tc>
        <w:tc>
          <w:tcPr>
            <w:tcW w:type="dxa" w:w="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F9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  <w:sz w:val="22"/>
              </w:rPr>
            </w:pPr>
            <w:r>
              <w:rPr>
                <w:rFonts w:ascii="Times New Roman" w:hAnsi="Times New Roman"/>
                <w:spacing w:val="-20"/>
                <w:sz w:val="22"/>
              </w:rPr>
              <w:t>-</w:t>
            </w:r>
          </w:p>
        </w:tc>
        <w:tc>
          <w:tcPr>
            <w:tcW w:type="dxa" w:w="9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FA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  <w:sz w:val="22"/>
              </w:rPr>
            </w:pPr>
            <w:r>
              <w:rPr>
                <w:rFonts w:ascii="Times New Roman" w:hAnsi="Times New Roman"/>
                <w:spacing w:val="-20"/>
                <w:sz w:val="22"/>
              </w:rPr>
              <w:t>-</w:t>
            </w:r>
          </w:p>
        </w:tc>
        <w:tc>
          <w:tcPr>
            <w:tcW w:type="dxa" w:w="8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FB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  <w:sz w:val="22"/>
              </w:rPr>
            </w:pPr>
            <w:r>
              <w:rPr>
                <w:rFonts w:ascii="Times New Roman" w:hAnsi="Times New Roman"/>
                <w:spacing w:val="-20"/>
                <w:sz w:val="22"/>
              </w:rPr>
              <w:t>-</w:t>
            </w:r>
          </w:p>
        </w:tc>
        <w:tc>
          <w:tcPr>
            <w:tcW w:type="dxa" w:w="8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FC010000">
            <w:pPr>
              <w:pStyle w:val="Style_6"/>
              <w:ind/>
              <w:jc w:val="center"/>
              <w:rPr>
                <w:rFonts w:ascii="Times New Roman" w:hAnsi="Times New Roman"/>
                <w:spacing w:val="-20"/>
                <w:sz w:val="22"/>
              </w:rPr>
            </w:pPr>
            <w:r>
              <w:rPr>
                <w:rFonts w:ascii="Times New Roman" w:hAnsi="Times New Roman"/>
                <w:spacing w:val="-20"/>
                <w:sz w:val="22"/>
              </w:rPr>
              <w:t>-</w:t>
            </w:r>
          </w:p>
        </w:tc>
      </w:tr>
    </w:tbl>
    <w:p w14:paraId="FD010000">
      <w:pPr>
        <w:tabs>
          <w:tab w:leader="none" w:pos="0" w:val="left"/>
        </w:tabs>
        <w:ind/>
        <w:jc w:val="both"/>
        <w:rPr>
          <w:sz w:val="24"/>
        </w:rPr>
      </w:pPr>
      <w:r>
        <w:tab/>
      </w:r>
      <w:r>
        <w:rPr>
          <w:sz w:val="24"/>
          <w:vertAlign w:val="superscript"/>
        </w:rPr>
        <w:t>1</w:t>
      </w:r>
      <w:r>
        <w:rPr>
          <w:sz w:val="24"/>
        </w:rPr>
        <w:t> Плановые бюджетные ассигнования, предусмотренные за счет средств областного бюджета и безвозмездных поступлений в бюджет поселения.</w:t>
      </w:r>
    </w:p>
    <w:p w14:paraId="FE010000">
      <w:pPr>
        <w:ind w:firstLine="709" w:left="0"/>
        <w:jc w:val="both"/>
        <w:rPr>
          <w:sz w:val="24"/>
        </w:rPr>
      </w:pPr>
      <w:r>
        <w:rPr>
          <w:sz w:val="24"/>
          <w:vertAlign w:val="superscript"/>
        </w:rPr>
        <w:t>2</w:t>
      </w:r>
      <w:r>
        <w:rPr>
          <w:sz w:val="24"/>
        </w:rPr>
        <w:t xml:space="preserve"> Объем бюджетных ассигнований соответствует решению Собрания депутатов от 23.12.2022 № 62 «О бюджете </w:t>
      </w:r>
      <w:r>
        <w:rPr>
          <w:sz w:val="24"/>
        </w:rPr>
        <w:t>Кринично-Лугского</w:t>
      </w:r>
      <w:r>
        <w:rPr>
          <w:sz w:val="24"/>
        </w:rPr>
        <w:t xml:space="preserve"> сельского поселения на 2023 год и на плановый период 2024 и 2025 годов» по состоянию на 1 января 2023 г.</w:t>
      </w:r>
    </w:p>
    <w:p w14:paraId="FF010000">
      <w:pPr>
        <w:tabs>
          <w:tab w:leader="none" w:pos="1575" w:val="left"/>
        </w:tabs>
        <w:ind w:firstLine="709" w:left="0"/>
        <w:jc w:val="both"/>
        <w:rPr>
          <w:sz w:val="24"/>
        </w:rPr>
      </w:pPr>
      <w:r>
        <w:rPr>
          <w:sz w:val="24"/>
          <w:vertAlign w:val="superscript"/>
        </w:rPr>
        <w:t>3</w:t>
      </w:r>
      <w:r>
        <w:rPr>
          <w:sz w:val="24"/>
        </w:rPr>
        <w:t xml:space="preserve"> Объем бюджетных ассигнований соответствует решению Собрания депутатов от 22.12.2023 № 98 «О бюджете </w:t>
      </w:r>
      <w:r>
        <w:rPr>
          <w:sz w:val="24"/>
        </w:rPr>
        <w:t>Кринично-Лугского</w:t>
      </w:r>
      <w:r>
        <w:rPr>
          <w:sz w:val="24"/>
        </w:rPr>
        <w:t xml:space="preserve"> сельского поселения на 2024 год и на плановый период 2025 и 2026 годов» по состоянию на 1 января 2024 г.</w:t>
      </w:r>
    </w:p>
    <w:p w14:paraId="00020000">
      <w:pPr>
        <w:tabs>
          <w:tab w:leader="none" w:pos="1575" w:val="left"/>
        </w:tabs>
        <w:ind w:firstLine="709" w:left="0"/>
        <w:jc w:val="both"/>
        <w:rPr>
          <w:sz w:val="24"/>
        </w:rPr>
      </w:pPr>
      <w:r>
        <w:rPr>
          <w:sz w:val="24"/>
          <w:vertAlign w:val="superscript"/>
        </w:rPr>
        <w:t>4</w:t>
      </w:r>
      <w:r>
        <w:rPr>
          <w:sz w:val="24"/>
        </w:rPr>
        <w:t xml:space="preserve"> Объем бюджетных ассигнований соответствует решению Собрания депутатов от 26.12.2024 № 136 «О бюджете </w:t>
      </w:r>
      <w:r>
        <w:rPr>
          <w:sz w:val="24"/>
        </w:rPr>
        <w:t>Кринично-Лугского</w:t>
      </w:r>
      <w:r>
        <w:rPr>
          <w:sz w:val="24"/>
        </w:rPr>
        <w:t xml:space="preserve"> сельского поселения на 2025 год и на плановый период 2026 и 2027 годов» по состоянию на 1 января 2025 г.</w:t>
      </w:r>
    </w:p>
    <w:p w14:paraId="01020000">
      <w:pPr>
        <w:ind w:firstLine="709" w:left="0"/>
        <w:jc w:val="both"/>
        <w:rPr>
          <w:sz w:val="24"/>
        </w:rPr>
      </w:pPr>
      <w:r>
        <w:rPr>
          <w:sz w:val="24"/>
          <w:vertAlign w:val="superscript"/>
        </w:rPr>
        <w:t>5</w:t>
      </w:r>
      <w:r>
        <w:rPr>
          <w:sz w:val="24"/>
        </w:rPr>
        <w:t xml:space="preserve"> Объем бюджетных ассигнований на период с 2027 по 2030 годы </w:t>
      </w:r>
      <w:r>
        <w:rPr>
          <w:sz w:val="24"/>
        </w:rPr>
        <w:t>расчетно</w:t>
      </w:r>
      <w:r>
        <w:rPr>
          <w:sz w:val="24"/>
        </w:rPr>
        <w:t xml:space="preserve"> спрогнозирован на основе параметров 2026 года с ежегодной индексацией на утвержденный уровень инфляции 4,0 процента.</w:t>
      </w:r>
    </w:p>
    <w:p w14:paraId="02020000">
      <w:pPr>
        <w:sectPr>
          <w:footerReference r:id="rId2" w:type="default"/>
          <w:pgSz w:h="11907" w:orient="landscape" w:w="16840"/>
          <w:pgMar w:bottom="851" w:footer="720" w:gutter="0" w:header="720" w:left="851" w:right="851" w:top="1418"/>
        </w:sectPr>
      </w:pPr>
    </w:p>
    <w:p w14:paraId="03020000">
      <w:pPr>
        <w:widowControl w:val="0"/>
        <w:numPr>
          <w:ilvl w:val="1"/>
          <w:numId w:val="2"/>
        </w:numPr>
        <w:tabs>
          <w:tab w:leader="none" w:pos="0" w:val="left"/>
          <w:tab w:leader="none" w:pos="2700" w:val="clear"/>
        </w:tabs>
        <w:ind w:firstLine="851" w:left="0"/>
        <w:jc w:val="center"/>
        <w:rPr>
          <w:sz w:val="28"/>
        </w:rPr>
      </w:pPr>
      <w:r>
        <w:rPr>
          <w:sz w:val="28"/>
        </w:rPr>
        <w:t xml:space="preserve">Основные подходы к формированию бюджетной политики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на период 2023-2036 годов</w:t>
      </w:r>
    </w:p>
    <w:p w14:paraId="04020000">
      <w:pPr>
        <w:ind w:firstLine="709" w:left="0"/>
        <w:jc w:val="both"/>
        <w:rPr>
          <w:sz w:val="28"/>
        </w:rPr>
      </w:pPr>
    </w:p>
    <w:p w14:paraId="0502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>При расчете прогнозных показателей налоговых и неналоговых доходов учитывались изменения в законодательстве о налогах и сборах Российской Федерации и Ростовской области и бюджетном законодательстве Российской Федерации, ожидаемые в прогнозном периоде.</w:t>
      </w:r>
    </w:p>
    <w:p w14:paraId="0602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>Расчет прогнозных показателей дефицита (профицита), источников его финансирования и муниципального долга поселения осуществлен исходя из ограничений по размеру дефицита и уровню муниципального долга, установленных Бюджетным кодексом Российской Федерации, а также с учетом нормативных правовых актов, регулирующих бюджетные правоотношения.</w:t>
      </w:r>
    </w:p>
    <w:p w14:paraId="0702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В прогнозируемом периоде будет продолжена долговая </w:t>
      </w:r>
      <w:r>
        <w:rPr>
          <w:sz w:val="28"/>
        </w:rPr>
        <w:t>политика на отсутствие</w:t>
      </w:r>
      <w:r>
        <w:rPr>
          <w:sz w:val="28"/>
        </w:rPr>
        <w:t xml:space="preserve"> муниципального долга.</w:t>
      </w:r>
    </w:p>
    <w:p w14:paraId="0802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Бюджетная </w:t>
      </w:r>
      <w:r>
        <w:rPr>
          <w:sz w:val="28"/>
        </w:rPr>
        <w:t>политика на</w:t>
      </w:r>
      <w:r>
        <w:rPr>
          <w:sz w:val="28"/>
        </w:rPr>
        <w:t xml:space="preserve"> долгосрочный период будет направлена на обеспечение решения приоритетных задач социально-экономического развития поселения при одновременном обеспечении устойчивости и сбалансированности бюджетной системы.</w:t>
      </w:r>
    </w:p>
    <w:p w14:paraId="09020000">
      <w:pPr>
        <w:ind w:firstLine="700" w:left="0"/>
        <w:jc w:val="both"/>
        <w:rPr>
          <w:sz w:val="28"/>
        </w:rPr>
      </w:pPr>
    </w:p>
    <w:p w14:paraId="0A020000">
      <w:pPr>
        <w:pStyle w:val="Style_6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2.2.1. Основные подходы в части </w:t>
      </w:r>
    </w:p>
    <w:p w14:paraId="0B020000">
      <w:pPr>
        <w:pStyle w:val="Style_6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собственных (налоговых и неналоговых) доходов</w:t>
      </w:r>
    </w:p>
    <w:p w14:paraId="0C020000">
      <w:pPr>
        <w:ind w:firstLine="709" w:left="0"/>
        <w:jc w:val="both"/>
        <w:rPr>
          <w:sz w:val="28"/>
        </w:rPr>
      </w:pPr>
    </w:p>
    <w:p w14:paraId="0D020000">
      <w:pPr>
        <w:widowControl w:val="0"/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>Собственные налоговые и неналоговые доходы бюджета поселения к 2036 году увеличатся в 1,9 раза к уровню 2023 года.</w:t>
      </w:r>
    </w:p>
    <w:p w14:paraId="0E020000">
      <w:pPr>
        <w:ind w:firstLine="709" w:left="0"/>
        <w:jc w:val="both"/>
        <w:rPr>
          <w:color w:themeColor="text1" w:val="000000"/>
          <w:sz w:val="28"/>
        </w:rPr>
      </w:pPr>
      <w:r>
        <w:rPr>
          <w:color w:themeColor="text1" w:val="000000"/>
          <w:sz w:val="28"/>
        </w:rPr>
        <w:t>В рамках проводимой Кринично-Лугским сельским поселением финансовой поддержки введены меры налоговой поддержки отдельным социальным категориям, в том числе участникам специальной военной операции и их семьям.</w:t>
      </w:r>
    </w:p>
    <w:p w14:paraId="0F020000">
      <w:pPr>
        <w:ind w:firstLine="709" w:left="0"/>
        <w:jc w:val="both"/>
        <w:rPr>
          <w:color w:themeColor="text1" w:val="000000"/>
          <w:sz w:val="28"/>
        </w:rPr>
      </w:pPr>
      <w:r>
        <w:rPr>
          <w:color w:themeColor="text1" w:val="000000"/>
          <w:sz w:val="28"/>
        </w:rPr>
        <w:t xml:space="preserve">Налоговые и неналоговые доходы бюджета сельского поселения  спрогнозированы в соответствии с положениями Бюджетного кодекса Российской Федерации и Налогового кодекса Российской Федерации на основе показателей второго варианта долгосрочного прогноза социально – экономического развития </w:t>
      </w:r>
      <w:r>
        <w:rPr>
          <w:color w:themeColor="text1" w:val="000000"/>
          <w:sz w:val="28"/>
        </w:rPr>
        <w:t>Кринично-Лугского</w:t>
      </w:r>
      <w:r>
        <w:rPr>
          <w:color w:themeColor="text1" w:val="000000"/>
          <w:sz w:val="28"/>
        </w:rPr>
        <w:t xml:space="preserve"> сельского поселения на период до 2036 года. </w:t>
      </w:r>
    </w:p>
    <w:p w14:paraId="10020000">
      <w:pPr>
        <w:ind w:firstLine="709" w:left="0"/>
        <w:jc w:val="both"/>
        <w:rPr>
          <w:color w:themeColor="text1" w:val="000000"/>
        </w:rPr>
      </w:pPr>
      <w:r>
        <w:rPr>
          <w:color w:themeColor="text1" w:val="000000"/>
          <w:sz w:val="28"/>
        </w:rPr>
        <w:t>При прогнозировании собственных налоговых и неналоговых доходов учтены тенденции, сложившиеся в предыдущие годы.</w:t>
      </w:r>
    </w:p>
    <w:p w14:paraId="11020000">
      <w:pPr>
        <w:widowControl w:val="0"/>
        <w:spacing w:line="228" w:lineRule="auto"/>
        <w:ind/>
        <w:jc w:val="center"/>
        <w:rPr>
          <w:sz w:val="28"/>
        </w:rPr>
      </w:pPr>
    </w:p>
    <w:p w14:paraId="12020000">
      <w:pPr>
        <w:widowControl w:val="0"/>
        <w:spacing w:line="228" w:lineRule="auto"/>
        <w:ind/>
        <w:jc w:val="center"/>
        <w:rPr>
          <w:sz w:val="28"/>
        </w:rPr>
      </w:pPr>
      <w:r>
        <w:rPr>
          <w:sz w:val="28"/>
        </w:rPr>
        <w:t>2.2.2. Основные подходы в части региональной финансовой помощи</w:t>
      </w:r>
    </w:p>
    <w:p w14:paraId="13020000">
      <w:pPr>
        <w:widowControl w:val="0"/>
        <w:spacing w:line="228" w:lineRule="auto"/>
        <w:ind/>
        <w:jc w:val="both"/>
        <w:rPr>
          <w:sz w:val="28"/>
        </w:rPr>
      </w:pPr>
    </w:p>
    <w:p w14:paraId="14020000">
      <w:pPr>
        <w:widowControl w:val="0"/>
        <w:spacing w:line="240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Проводимая на региональном уровне политика в области межбюджетных отношений направлена на повышение финансовой самостоятельности и ответственности органов местного самоуправления. </w:t>
      </w:r>
    </w:p>
    <w:p w14:paraId="15020000">
      <w:pPr>
        <w:widowControl w:val="0"/>
        <w:tabs>
          <w:tab w:leader="none" w:pos="3261" w:val="left"/>
        </w:tabs>
        <w:spacing w:line="240" w:lineRule="auto"/>
        <w:ind w:firstLine="709" w:left="0"/>
        <w:jc w:val="both"/>
        <w:rPr>
          <w:sz w:val="28"/>
        </w:rPr>
      </w:pPr>
      <w:r>
        <w:rPr>
          <w:sz w:val="28"/>
        </w:rPr>
        <w:t>Прогноз безвозмездных поступлений на 2025-2027 годы соответствует значениям, утвержденным Областным законом от 24.12.2024 № 228-ЗС.</w:t>
      </w:r>
    </w:p>
    <w:p w14:paraId="16020000">
      <w:pPr>
        <w:widowControl w:val="0"/>
        <w:spacing w:line="240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Целевые трансферты с 2028 по 2036 год учтены в соответствии с объемом на 2027 год, предусмотренным Областным законом от от 24.12.2024 № 228-ЗС. </w:t>
      </w:r>
    </w:p>
    <w:p w14:paraId="17020000">
      <w:pPr>
        <w:widowControl w:val="0"/>
        <w:tabs>
          <w:tab w:leader="none" w:pos="3261" w:val="left"/>
        </w:tabs>
        <w:spacing w:line="240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Начиная с 2027 года в расчете безвозмездных поступлений </w:t>
      </w:r>
      <w:r>
        <w:rPr>
          <w:sz w:val="28"/>
        </w:rPr>
        <w:t xml:space="preserve">использовались данные по объему дотации на выравнивание бюджетной обеспеченности на 2026 год в соответствии с принятым решением Собрания депутатов о бюджете поселения на 2024 год и плановый период 2025 и 2026 годов от 22.12.2023 № 98 в </w:t>
      </w:r>
      <w:r>
        <w:rPr>
          <w:sz w:val="28"/>
        </w:rPr>
        <w:t>объеме</w:t>
      </w:r>
      <w:r>
        <w:rPr>
          <w:sz w:val="28"/>
        </w:rPr>
        <w:t xml:space="preserve"> утвержденном на 2026 год. </w:t>
      </w:r>
    </w:p>
    <w:p w14:paraId="18020000">
      <w:pPr>
        <w:tabs>
          <w:tab w:leader="none" w:pos="0" w:val="left"/>
        </w:tabs>
        <w:ind w:firstLine="709" w:left="0"/>
        <w:jc w:val="both"/>
        <w:rPr>
          <w:sz w:val="28"/>
        </w:rPr>
      </w:pPr>
    </w:p>
    <w:p w14:paraId="19020000">
      <w:pPr>
        <w:pStyle w:val="Style_6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2.2.3. Основные подходы в части расходов</w:t>
      </w:r>
    </w:p>
    <w:p w14:paraId="1A020000">
      <w:pPr>
        <w:tabs>
          <w:tab w:leader="none" w:pos="0" w:val="left"/>
        </w:tabs>
        <w:ind w:firstLine="709" w:left="0"/>
        <w:jc w:val="both"/>
        <w:rPr>
          <w:sz w:val="28"/>
        </w:rPr>
      </w:pPr>
    </w:p>
    <w:p w14:paraId="1B020000">
      <w:pPr>
        <w:ind w:firstLine="709" w:left="0"/>
        <w:jc w:val="both"/>
        <w:rPr>
          <w:sz w:val="28"/>
        </w:rPr>
      </w:pPr>
      <w:r>
        <w:rPr>
          <w:sz w:val="28"/>
        </w:rPr>
        <w:t>Расходы на период 2023-2036 годов рассчитаны с учетом прогноза поступлений доходов.</w:t>
      </w:r>
    </w:p>
    <w:p w14:paraId="1C020000">
      <w:pPr>
        <w:widowControl w:val="0"/>
        <w:spacing w:line="240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На 2025 – 2027 годы расходы бюджета </w:t>
      </w:r>
      <w:r>
        <w:br/>
      </w:r>
      <w:r>
        <w:rPr>
          <w:sz w:val="28"/>
        </w:rPr>
        <w:t xml:space="preserve">поселения учтены в соответствии с принятым областным законом об областном бюджете и в соответствии с решением Собрания депутатов Кринично-Лугского сельского поселения о бюджете.  </w:t>
      </w:r>
    </w:p>
    <w:p w14:paraId="1D020000">
      <w:pPr>
        <w:widowControl w:val="0"/>
        <w:spacing w:line="240" w:lineRule="auto"/>
        <w:ind w:firstLine="709" w:left="0"/>
        <w:jc w:val="both"/>
        <w:rPr>
          <w:sz w:val="28"/>
        </w:rPr>
      </w:pPr>
      <w:r>
        <w:rPr>
          <w:sz w:val="28"/>
        </w:rPr>
        <w:t>На 2026 и 2027 годы учтены условно утвержденные расходы  в объеме 2,5 процента и 5,0 процентов от общего объема расходов бюджета поселения, за исключением расходов, предусмотренных за счет целевых  средств из областного бюджета, с 2028 года условно утвержденные расходы учтены с увеличением на 2,5 процента ежегодно, что будет являться определенным резервом для планирования расходов в плановом периоде.</w:t>
      </w:r>
    </w:p>
    <w:p w14:paraId="1E02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>В соответствии с решением Собрания депутатов от 11.12.2020 № 244 «Об утверждении Положения о бюджетном процессе в муниципальном образовании «</w:t>
      </w:r>
      <w:r>
        <w:rPr>
          <w:sz w:val="28"/>
        </w:rPr>
        <w:t>Кринично-Лугское</w:t>
      </w:r>
      <w:r>
        <w:rPr>
          <w:sz w:val="28"/>
        </w:rPr>
        <w:t xml:space="preserve"> сельское поселение» бюджет поселения составляется на основе муниципальных программ. </w:t>
      </w:r>
    </w:p>
    <w:p w14:paraId="1F020000">
      <w:pPr>
        <w:widowControl w:val="0"/>
        <w:spacing w:line="240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Начиная с 2025 года в структуре бюджета поселения учтены муниципальные программы Кринично-Лугского сельского поселения, сформированные в новом формате в соответствии с постановлением Администрации </w:t>
      </w:r>
      <w:r>
        <w:rPr>
          <w:sz w:val="28"/>
        </w:rPr>
        <w:t>от 06.07.2023 № 80 «</w:t>
      </w:r>
      <w:r>
        <w:rPr>
          <w:spacing w:val="1"/>
          <w:sz w:val="28"/>
        </w:rPr>
        <w:t>Об утверждении Порядка</w:t>
      </w:r>
      <w:r>
        <w:rPr>
          <w:sz w:val="28"/>
        </w:rPr>
        <w:t xml:space="preserve"> разработки, реализации и оценки эффективности муниципальных программ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поселения»</w:t>
      </w:r>
      <w:r>
        <w:rPr>
          <w:sz w:val="28"/>
        </w:rPr>
        <w:t>.</w:t>
      </w:r>
    </w:p>
    <w:p w14:paraId="2002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Параметры финансового обеспечения муниципальных программ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на 2025 – 2026 годы соответствуют значениям, утвержденным решением Собрания депутатов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о бюджете от 26.12.2024 № 136.</w:t>
      </w:r>
    </w:p>
    <w:p w14:paraId="21020000">
      <w:pPr>
        <w:widowControl w:val="0"/>
        <w:spacing w:line="240" w:lineRule="auto"/>
        <w:ind w:firstLine="709" w:left="0"/>
        <w:jc w:val="both"/>
        <w:rPr>
          <w:sz w:val="28"/>
        </w:rPr>
      </w:pPr>
      <w:r>
        <w:rPr>
          <w:sz w:val="28"/>
        </w:rPr>
        <w:t>Для целей прогнозирования в составе расходов бюджета параметров финансового обеспечения муниципальных программ поселения с 2028 года объемы бюджетных ассигнований на реализацию муниципальных програ</w:t>
      </w:r>
      <w:r>
        <w:rPr>
          <w:sz w:val="28"/>
        </w:rPr>
        <w:t>мм поселения учтены на уровне 2027 года с учетом ежегодной индексации на утвержденный уровень инфляции 4,0 процента.</w:t>
      </w:r>
    </w:p>
    <w:p w14:paraId="2202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>Решением Собрания депутатов Кринично-Лугского сельского поселения от 26.12.2024 № 136 предусмотрено финансовое обеспечение по 11 муниципальным программам. Доля расходов бюджета поселения, формируемых в рамках муниципальных программ поселения, ежегодно планируется более 90 процентов в общем объеме расходов бюджета поселения.</w:t>
      </w:r>
    </w:p>
    <w:p w14:paraId="2302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>Основной объем сре</w:t>
      </w:r>
      <w:r>
        <w:rPr>
          <w:sz w:val="28"/>
        </w:rPr>
        <w:t>дств ск</w:t>
      </w:r>
      <w:r>
        <w:rPr>
          <w:sz w:val="28"/>
        </w:rPr>
        <w:t xml:space="preserve">онцентрирован на реализации муниципальных программ поселения, предусматривающих расходы на развитие культуры и спорта, социальную поддержку бывших муниципальных служащих. </w:t>
      </w:r>
    </w:p>
    <w:p w14:paraId="24020000">
      <w:pPr>
        <w:ind w:firstLine="709" w:left="0"/>
        <w:jc w:val="both"/>
        <w:rPr>
          <w:sz w:val="28"/>
        </w:rPr>
      </w:pPr>
    </w:p>
    <w:p w14:paraId="25020000">
      <w:pPr>
        <w:ind/>
        <w:jc w:val="center"/>
        <w:rPr>
          <w:sz w:val="28"/>
        </w:rPr>
      </w:pPr>
      <w:r>
        <w:rPr>
          <w:sz w:val="28"/>
        </w:rPr>
        <w:t>2.2.4. Основные подходы к долговой политике</w:t>
      </w:r>
    </w:p>
    <w:p w14:paraId="26020000">
      <w:pPr>
        <w:ind/>
        <w:jc w:val="both"/>
        <w:rPr>
          <w:sz w:val="28"/>
        </w:rPr>
      </w:pPr>
    </w:p>
    <w:p w14:paraId="2702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Основной целью долговой политики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на период до 2036 года будет являться отсутствие муниципального долга и минимизация расходов на его обслуживание.</w:t>
      </w:r>
    </w:p>
    <w:p w14:paraId="2802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На период 2023–2036 годов бюджет поселения планируется к принятию </w:t>
      </w:r>
      <w:r>
        <w:rPr>
          <w:sz w:val="28"/>
        </w:rPr>
        <w:t>сбалансированным</w:t>
      </w:r>
      <w:r>
        <w:rPr>
          <w:sz w:val="28"/>
        </w:rPr>
        <w:t>.</w:t>
      </w:r>
    </w:p>
    <w:p w14:paraId="2902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Муниципальная долговая политика будет направлена на сохранение отсутствия муниципального долга, при этом должна быть обеспечена способность </w:t>
      </w:r>
      <w:r>
        <w:rPr>
          <w:sz w:val="28"/>
        </w:rPr>
        <w:t>Кринично-Лугского</w:t>
      </w:r>
      <w:r>
        <w:rPr>
          <w:sz w:val="28"/>
        </w:rPr>
        <w:t xml:space="preserve"> сельского поселения осуществлять заимствования в объемах, необходимых для решения поставленных социально-экономических задач, на комфортных для нее условиях.</w:t>
      </w:r>
    </w:p>
    <w:p w14:paraId="2A020000">
      <w:pPr>
        <w:rPr>
          <w:sz w:val="28"/>
        </w:rPr>
      </w:pPr>
    </w:p>
    <w:p w14:paraId="2B020000">
      <w:pPr>
        <w:ind w:firstLine="709" w:left="0"/>
        <w:jc w:val="both"/>
        <w:rPr>
          <w:sz w:val="28"/>
        </w:rPr>
      </w:pPr>
    </w:p>
    <w:sectPr>
      <w:footerReference r:id="rId1" w:type="default"/>
      <w:pgSz w:h="16840" w:orient="portrait" w:w="11907"/>
      <w:pgMar w:bottom="709" w:footer="720" w:gutter="0" w:header="720" w:left="1701" w:right="567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right" w:y="1"/>
    </w:pPr>
    <w:r>
      <w:rPr>
        <w:rStyle w:val="Style_1_ch"/>
      </w:rPr>
      <w:fldChar w:fldCharType="begin"/>
    </w:r>
    <w:r>
      <w:rPr>
        <w:rStyle w:val="Style_1_ch"/>
      </w:rPr>
      <w:instrText xml:space="preserve">PAGE </w:instrText>
    </w:r>
    <w:r>
      <w:rPr>
        <w:rStyle w:val="Style_1_ch"/>
      </w:rPr>
      <w:fldChar w:fldCharType="separate"/>
    </w:r>
    <w:r>
      <w:rPr>
        <w:rStyle w:val="Style_1_ch"/>
      </w:rPr>
      <w:fldChar w:fldCharType="end"/>
    </w:r>
  </w:p>
  <w:p w14:paraId="01000000">
    <w:pPr>
      <w:pStyle w:val="Style_2"/>
      <w:ind w:right="360"/>
    </w:pPr>
  </w:p>
</w:ftr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right" w:y="1"/>
    </w:pPr>
    <w:r>
      <w:rPr>
        <w:rStyle w:val="Style_1_ch"/>
      </w:rPr>
      <w:fldChar w:fldCharType="begin"/>
    </w:r>
    <w:r>
      <w:rPr>
        <w:rStyle w:val="Style_1_ch"/>
      </w:rPr>
      <w:instrText xml:space="preserve">PAGE </w:instrText>
    </w:r>
    <w:r>
      <w:rPr>
        <w:rStyle w:val="Style_1_ch"/>
      </w:rPr>
      <w:fldChar w:fldCharType="separate"/>
    </w:r>
    <w:r>
      <w:rPr>
        <w:rStyle w:val="Style_1_ch"/>
      </w:rPr>
      <w:fldChar w:fldCharType="end"/>
    </w:r>
  </w:p>
  <w:p w14:paraId="02000000">
    <w:pPr>
      <w:pStyle w:val="Style_2"/>
      <w:ind w:right="360"/>
    </w:pPr>
  </w:p>
</w:ftr>
</file>

<file path=word/footer3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right" w:y="1"/>
    </w:pPr>
    <w:r>
      <w:rPr>
        <w:rStyle w:val="Style_1_ch"/>
      </w:rPr>
      <w:fldChar w:fldCharType="begin"/>
    </w:r>
    <w:r>
      <w:rPr>
        <w:rStyle w:val="Style_1_ch"/>
      </w:rPr>
      <w:instrText xml:space="preserve">PAGE </w:instrText>
    </w:r>
    <w:r>
      <w:rPr>
        <w:rStyle w:val="Style_1_ch"/>
      </w:rPr>
      <w:fldChar w:fldCharType="separate"/>
    </w:r>
    <w:r>
      <w:rPr>
        <w:rStyle w:val="Style_1_ch"/>
      </w:rPr>
      <w:fldChar w:fldCharType="end"/>
    </w:r>
  </w:p>
  <w:p w14:paraId="03000000">
    <w:pPr>
      <w:pStyle w:val="Style_2"/>
      <w:ind w:right="360"/>
    </w:pPr>
  </w:p>
</w:ft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ind w:hanging="360" w:left="928"/>
      </w:pPr>
    </w:lvl>
    <w:lvl w:ilvl="1">
      <w:start w:val="1"/>
      <w:numFmt w:val="lowerLetter"/>
      <w:lvlText w:val="%2."/>
      <w:lvlJc w:val="left"/>
      <w:pPr>
        <w:ind w:hanging="360" w:left="1648"/>
      </w:pPr>
    </w:lvl>
    <w:lvl w:ilvl="2">
      <w:start w:val="1"/>
      <w:numFmt w:val="lowerRoman"/>
      <w:lvlText w:val="%3."/>
      <w:lvlJc w:val="right"/>
      <w:pPr>
        <w:ind w:hanging="180" w:left="2368"/>
      </w:pPr>
    </w:lvl>
    <w:lvl w:ilvl="3">
      <w:start w:val="1"/>
      <w:numFmt w:val="decimal"/>
      <w:lvlText w:val="%4."/>
      <w:lvlJc w:val="left"/>
      <w:pPr>
        <w:ind w:hanging="360" w:left="3088"/>
      </w:pPr>
    </w:lvl>
    <w:lvl w:ilvl="4">
      <w:start w:val="1"/>
      <w:numFmt w:val="lowerLetter"/>
      <w:lvlText w:val="%5."/>
      <w:lvlJc w:val="left"/>
      <w:pPr>
        <w:ind w:hanging="360" w:left="3808"/>
      </w:pPr>
    </w:lvl>
    <w:lvl w:ilvl="5">
      <w:start w:val="1"/>
      <w:numFmt w:val="lowerRoman"/>
      <w:lvlText w:val="%6."/>
      <w:lvlJc w:val="right"/>
      <w:pPr>
        <w:ind w:hanging="180" w:left="4528"/>
      </w:pPr>
    </w:lvl>
    <w:lvl w:ilvl="6">
      <w:start w:val="1"/>
      <w:numFmt w:val="decimal"/>
      <w:lvlText w:val="%7."/>
      <w:lvlJc w:val="left"/>
      <w:pPr>
        <w:ind w:hanging="360" w:left="5248"/>
      </w:pPr>
    </w:lvl>
    <w:lvl w:ilvl="7">
      <w:start w:val="1"/>
      <w:numFmt w:val="lowerLetter"/>
      <w:lvlText w:val="%8."/>
      <w:lvlJc w:val="left"/>
      <w:pPr>
        <w:ind w:hanging="360" w:left="5968"/>
      </w:pPr>
    </w:lvl>
    <w:lvl w:ilvl="8">
      <w:start w:val="1"/>
      <w:numFmt w:val="lowerRoman"/>
      <w:lvlText w:val="%9."/>
      <w:lvlJc w:val="right"/>
      <w:pPr>
        <w:ind w:hanging="180" w:left="6688"/>
      </w:pPr>
    </w:lvl>
  </w:abstractNum>
  <w:abstractNum w:abstractNumId="1">
    <w:lvl w:ilvl="0">
      <w:start w:val="2"/>
      <w:numFmt w:val="decimal"/>
      <w:lvlText w:val="%1."/>
      <w:lvlJc w:val="left"/>
      <w:pPr>
        <w:tabs>
          <w:tab w:leader="none" w:pos="435" w:val="left"/>
        </w:tabs>
        <w:ind w:hanging="435" w:left="435"/>
      </w:pPr>
    </w:lvl>
    <w:lvl w:ilvl="1">
      <w:start w:val="2"/>
      <w:numFmt w:val="decimal"/>
      <w:lvlText w:val="%1.%2."/>
      <w:lvlJc w:val="left"/>
      <w:pPr>
        <w:tabs>
          <w:tab w:leader="none" w:pos="2700" w:val="left"/>
        </w:tabs>
        <w:ind w:hanging="720" w:left="2700"/>
      </w:pPr>
    </w:lvl>
    <w:lvl w:ilvl="2">
      <w:start w:val="1"/>
      <w:numFmt w:val="decimal"/>
      <w:lvlText w:val="%1.%2.%3."/>
      <w:lvlJc w:val="left"/>
      <w:pPr>
        <w:tabs>
          <w:tab w:leader="none" w:pos="4680" w:val="left"/>
        </w:tabs>
        <w:ind w:hanging="720" w:left="4680"/>
      </w:pPr>
    </w:lvl>
    <w:lvl w:ilvl="3">
      <w:start w:val="1"/>
      <w:numFmt w:val="decimal"/>
      <w:lvlText w:val="%1.%2.%3.%4."/>
      <w:lvlJc w:val="left"/>
      <w:pPr>
        <w:tabs>
          <w:tab w:leader="none" w:pos="7020" w:val="left"/>
        </w:tabs>
        <w:ind w:hanging="1080" w:left="7020"/>
      </w:pPr>
    </w:lvl>
    <w:lvl w:ilvl="4">
      <w:start w:val="1"/>
      <w:numFmt w:val="decimal"/>
      <w:lvlText w:val="%1.%2.%3.%4.%5."/>
      <w:lvlJc w:val="left"/>
      <w:pPr>
        <w:tabs>
          <w:tab w:leader="none" w:pos="9000" w:val="left"/>
        </w:tabs>
        <w:ind w:hanging="1080" w:left="9000"/>
      </w:pPr>
    </w:lvl>
    <w:lvl w:ilvl="5">
      <w:start w:val="1"/>
      <w:numFmt w:val="decimal"/>
      <w:lvlText w:val="%1.%2.%3.%4.%5.%6."/>
      <w:lvlJc w:val="left"/>
      <w:pPr>
        <w:tabs>
          <w:tab w:leader="none" w:pos="11340" w:val="left"/>
        </w:tabs>
        <w:ind w:hanging="1440" w:left="11340"/>
      </w:pPr>
    </w:lvl>
    <w:lvl w:ilvl="6">
      <w:start w:val="1"/>
      <w:numFmt w:val="decimal"/>
      <w:lvlText w:val="%1.%2.%3.%4.%5.%6.%7."/>
      <w:lvlJc w:val="left"/>
      <w:pPr>
        <w:tabs>
          <w:tab w:leader="none" w:pos="13680" w:val="left"/>
        </w:tabs>
        <w:ind w:hanging="1800" w:left="13680"/>
      </w:pPr>
    </w:lvl>
    <w:lvl w:ilvl="7">
      <w:start w:val="1"/>
      <w:numFmt w:val="decimal"/>
      <w:lvlText w:val="%1.%2.%3.%4.%5.%6.%7.%8."/>
      <w:lvlJc w:val="left"/>
      <w:pPr>
        <w:tabs>
          <w:tab w:leader="none" w:pos="15660" w:val="left"/>
        </w:tabs>
        <w:ind w:hanging="1800" w:left="15660"/>
      </w:pPr>
    </w:lvl>
    <w:lvl w:ilvl="8">
      <w:start w:val="1"/>
      <w:numFmt w:val="decimal"/>
      <w:lvlText w:val="%1.%2.%3.%4.%5.%6.%7.%8.%9."/>
      <w:lvlJc w:val="left"/>
      <w:pPr>
        <w:tabs>
          <w:tab w:leader="none" w:pos="18000" w:val="left"/>
        </w:tabs>
        <w:ind w:hanging="2160" w:left="1800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9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2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7" w:type="paragraph">
    <w:name w:val="Normal"/>
    <w:link w:val="Style_7_ch"/>
    <w:uiPriority w:val="0"/>
    <w:qFormat/>
    <w:rPr>
      <w:sz w:val="20"/>
    </w:rPr>
  </w:style>
  <w:style w:default="1" w:styleId="Style_7_ch" w:type="character">
    <w:name w:val="Normal"/>
    <w:link w:val="Style_7"/>
    <w:rPr>
      <w:sz w:val="20"/>
    </w:rPr>
  </w:style>
  <w:style w:styleId="Style_8" w:type="paragraph">
    <w:name w:val="toc 2"/>
    <w:next w:val="Style_7"/>
    <w:link w:val="Style_8_ch"/>
    <w:uiPriority w:val="39"/>
    <w:pPr>
      <w:ind w:firstLine="0" w:left="200"/>
    </w:pPr>
    <w:rPr>
      <w:rFonts w:ascii="XO Thames" w:hAnsi="XO Thames"/>
      <w:sz w:val="28"/>
    </w:rPr>
  </w:style>
  <w:style w:styleId="Style_8_ch" w:type="character">
    <w:name w:val="toc 2"/>
    <w:link w:val="Style_8"/>
    <w:rPr>
      <w:rFonts w:ascii="XO Thames" w:hAnsi="XO Thames"/>
      <w:sz w:val="28"/>
    </w:rPr>
  </w:style>
  <w:style w:styleId="Style_9" w:type="paragraph">
    <w:name w:val="toc 4"/>
    <w:next w:val="Style_7"/>
    <w:link w:val="Style_9_ch"/>
    <w:uiPriority w:val="39"/>
    <w:pPr>
      <w:ind w:firstLine="0" w:left="600"/>
    </w:pPr>
    <w:rPr>
      <w:rFonts w:ascii="XO Thames" w:hAnsi="XO Thames"/>
      <w:sz w:val="28"/>
    </w:rPr>
  </w:style>
  <w:style w:styleId="Style_9_ch" w:type="character">
    <w:name w:val="toc 4"/>
    <w:link w:val="Style_9"/>
    <w:rPr>
      <w:rFonts w:ascii="XO Thames" w:hAnsi="XO Thames"/>
      <w:sz w:val="28"/>
    </w:rPr>
  </w:style>
  <w:style w:styleId="Style_10" w:type="paragraph">
    <w:name w:val="Body Text Indent"/>
    <w:basedOn w:val="Style_7"/>
    <w:link w:val="Style_10_ch"/>
    <w:pPr>
      <w:ind w:firstLine="709" w:left="0"/>
      <w:jc w:val="both"/>
    </w:pPr>
  </w:style>
  <w:style w:styleId="Style_10_ch" w:type="character">
    <w:name w:val="Body Text Indent"/>
    <w:basedOn w:val="Style_7_ch"/>
    <w:link w:val="Style_10"/>
  </w:style>
  <w:style w:styleId="Style_11" w:type="paragraph">
    <w:name w:val="toc 6"/>
    <w:next w:val="Style_7"/>
    <w:link w:val="Style_11_ch"/>
    <w:uiPriority w:val="39"/>
    <w:pPr>
      <w:ind w:firstLine="0" w:left="1000"/>
    </w:pPr>
    <w:rPr>
      <w:rFonts w:ascii="XO Thames" w:hAnsi="XO Thames"/>
      <w:sz w:val="28"/>
    </w:rPr>
  </w:style>
  <w:style w:styleId="Style_11_ch" w:type="character">
    <w:name w:val="toc 6"/>
    <w:link w:val="Style_11"/>
    <w:rPr>
      <w:rFonts w:ascii="XO Thames" w:hAnsi="XO Thames"/>
      <w:sz w:val="28"/>
    </w:rPr>
  </w:style>
  <w:style w:styleId="Style_12" w:type="paragraph">
    <w:name w:val="toc 7"/>
    <w:next w:val="Style_7"/>
    <w:link w:val="Style_12_ch"/>
    <w:uiPriority w:val="39"/>
    <w:pPr>
      <w:ind w:firstLine="0" w:left="1200"/>
    </w:pPr>
    <w:rPr>
      <w:rFonts w:ascii="XO Thames" w:hAnsi="XO Thames"/>
      <w:sz w:val="28"/>
    </w:rPr>
  </w:style>
  <w:style w:styleId="Style_12_ch" w:type="character">
    <w:name w:val="toc 7"/>
    <w:link w:val="Style_12"/>
    <w:rPr>
      <w:rFonts w:ascii="XO Thames" w:hAnsi="XO Thames"/>
      <w:sz w:val="28"/>
    </w:rPr>
  </w:style>
  <w:style w:styleId="Style_1" w:type="paragraph">
    <w:name w:val="Номер страницы1"/>
    <w:basedOn w:val="Style_7"/>
    <w:link w:val="Style_1_ch"/>
    <w:rPr>
      <w:sz w:val="22"/>
    </w:rPr>
  </w:style>
  <w:style w:styleId="Style_1_ch" w:type="character">
    <w:name w:val="Номер страницы1"/>
    <w:basedOn w:val="Style_7_ch"/>
    <w:link w:val="Style_1"/>
    <w:rPr>
      <w:sz w:val="22"/>
    </w:rPr>
  </w:style>
  <w:style w:styleId="Style_13" w:type="paragraph">
    <w:name w:val="Обычный1"/>
    <w:link w:val="Style_13_ch"/>
    <w:rPr>
      <w:sz w:val="20"/>
    </w:rPr>
  </w:style>
  <w:style w:styleId="Style_13_ch" w:type="character">
    <w:name w:val="Обычный1"/>
    <w:link w:val="Style_13"/>
    <w:rPr>
      <w:sz w:val="20"/>
    </w:rPr>
  </w:style>
  <w:style w:styleId="Style_14" w:type="paragraph">
    <w:name w:val="Postan"/>
    <w:basedOn w:val="Style_7"/>
    <w:link w:val="Style_14_ch"/>
    <w:pPr>
      <w:ind/>
      <w:jc w:val="center"/>
    </w:pPr>
    <w:rPr>
      <w:sz w:val="28"/>
    </w:rPr>
  </w:style>
  <w:style w:styleId="Style_14_ch" w:type="character">
    <w:name w:val="Postan"/>
    <w:basedOn w:val="Style_7_ch"/>
    <w:link w:val="Style_14"/>
    <w:rPr>
      <w:sz w:val="28"/>
    </w:rPr>
  </w:style>
  <w:style w:styleId="Style_15" w:type="paragraph">
    <w:name w:val="Обычный1"/>
    <w:link w:val="Style_15_ch"/>
    <w:rPr>
      <w:sz w:val="20"/>
    </w:rPr>
  </w:style>
  <w:style w:styleId="Style_15_ch" w:type="character">
    <w:name w:val="Обычный1"/>
    <w:link w:val="Style_15"/>
    <w:rPr>
      <w:sz w:val="20"/>
    </w:rPr>
  </w:style>
  <w:style w:styleId="Style_16" w:type="paragraph">
    <w:name w:val="heading 3"/>
    <w:next w:val="Style_7"/>
    <w:link w:val="Style_16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6_ch" w:type="character">
    <w:name w:val="heading 3"/>
    <w:link w:val="Style_16"/>
    <w:rPr>
      <w:rFonts w:ascii="XO Thames" w:hAnsi="XO Thames"/>
      <w:b w:val="1"/>
      <w:sz w:val="26"/>
    </w:rPr>
  </w:style>
  <w:style w:styleId="Style_2" w:type="paragraph">
    <w:name w:val="footer"/>
    <w:basedOn w:val="Style_7"/>
    <w:link w:val="Style_2_ch"/>
    <w:pPr>
      <w:tabs>
        <w:tab w:leader="none" w:pos="4153" w:val="center"/>
        <w:tab w:leader="none" w:pos="8306" w:val="right"/>
      </w:tabs>
      <w:ind/>
    </w:pPr>
  </w:style>
  <w:style w:styleId="Style_2_ch" w:type="character">
    <w:name w:val="footer"/>
    <w:basedOn w:val="Style_7_ch"/>
    <w:link w:val="Style_2"/>
  </w:style>
  <w:style w:styleId="Style_17" w:type="paragraph">
    <w:name w:val="toc 3"/>
    <w:next w:val="Style_7"/>
    <w:link w:val="Style_17_ch"/>
    <w:uiPriority w:val="39"/>
    <w:pPr>
      <w:ind w:firstLine="0" w:left="400"/>
    </w:pPr>
    <w:rPr>
      <w:rFonts w:ascii="XO Thames" w:hAnsi="XO Thames"/>
      <w:sz w:val="28"/>
    </w:rPr>
  </w:style>
  <w:style w:styleId="Style_17_ch" w:type="character">
    <w:name w:val="toc 3"/>
    <w:link w:val="Style_17"/>
    <w:rPr>
      <w:rFonts w:ascii="XO Thames" w:hAnsi="XO Thames"/>
      <w:sz w:val="28"/>
    </w:rPr>
  </w:style>
  <w:style w:styleId="Style_18" w:type="paragraph">
    <w:name w:val="Balloon Text"/>
    <w:basedOn w:val="Style_7"/>
    <w:link w:val="Style_18_ch"/>
    <w:rPr>
      <w:rFonts w:ascii="Tahoma" w:hAnsi="Tahoma"/>
      <w:sz w:val="16"/>
    </w:rPr>
  </w:style>
  <w:style w:styleId="Style_18_ch" w:type="character">
    <w:name w:val="Balloon Text"/>
    <w:basedOn w:val="Style_7_ch"/>
    <w:link w:val="Style_18"/>
    <w:rPr>
      <w:rFonts w:ascii="Tahoma" w:hAnsi="Tahoma"/>
      <w:sz w:val="16"/>
    </w:rPr>
  </w:style>
  <w:style w:styleId="Style_19" w:type="paragraph">
    <w:name w:val="Основной шрифт абзаца1"/>
    <w:link w:val="Style_19_ch"/>
  </w:style>
  <w:style w:styleId="Style_19_ch" w:type="character">
    <w:name w:val="Основной шрифт абзаца1"/>
    <w:link w:val="Style_19"/>
  </w:style>
  <w:style w:styleId="Style_20" w:type="paragraph">
    <w:name w:val="heading 5"/>
    <w:next w:val="Style_7"/>
    <w:link w:val="Style_20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</w:rPr>
  </w:style>
  <w:style w:styleId="Style_20_ch" w:type="character">
    <w:name w:val="heading 5"/>
    <w:link w:val="Style_20"/>
    <w:rPr>
      <w:rFonts w:ascii="XO Thames" w:hAnsi="XO Thames"/>
      <w:b w:val="1"/>
    </w:rPr>
  </w:style>
  <w:style w:styleId="Style_3" w:type="paragraph">
    <w:name w:val="Normal (Web)"/>
    <w:basedOn w:val="Style_7"/>
    <w:link w:val="Style_3_ch"/>
    <w:pPr>
      <w:spacing w:afterAutospacing="on" w:beforeAutospacing="on"/>
      <w:ind/>
    </w:pPr>
    <w:rPr>
      <w:sz w:val="24"/>
    </w:rPr>
  </w:style>
  <w:style w:styleId="Style_3_ch" w:type="character">
    <w:name w:val="Normal (Web)"/>
    <w:basedOn w:val="Style_7_ch"/>
    <w:link w:val="Style_3"/>
    <w:rPr>
      <w:sz w:val="24"/>
    </w:rPr>
  </w:style>
  <w:style w:styleId="Style_21" w:type="paragraph">
    <w:name w:val="heading 1"/>
    <w:basedOn w:val="Style_7"/>
    <w:next w:val="Style_7"/>
    <w:link w:val="Style_21_ch"/>
    <w:uiPriority w:val="9"/>
    <w:qFormat/>
    <w:pPr>
      <w:keepNext w:val="1"/>
      <w:spacing w:line="220" w:lineRule="exact"/>
      <w:ind/>
      <w:jc w:val="center"/>
      <w:outlineLvl w:val="0"/>
    </w:pPr>
    <w:rPr>
      <w:rFonts w:ascii="AG Souvenir" w:hAnsi="AG Souvenir"/>
      <w:b w:val="1"/>
      <w:spacing w:val="38"/>
      <w:sz w:val="28"/>
    </w:rPr>
  </w:style>
  <w:style w:styleId="Style_21_ch" w:type="character">
    <w:name w:val="heading 1"/>
    <w:basedOn w:val="Style_7_ch"/>
    <w:link w:val="Style_21"/>
    <w:rPr>
      <w:rFonts w:ascii="AG Souvenir" w:hAnsi="AG Souvenir"/>
      <w:b w:val="1"/>
      <w:spacing w:val="38"/>
      <w:sz w:val="28"/>
    </w:rPr>
  </w:style>
  <w:style w:styleId="Style_22" w:type="paragraph">
    <w:name w:val="Hyperlink"/>
    <w:link w:val="Style_22_ch"/>
    <w:rPr>
      <w:color w:val="0000FF"/>
      <w:u w:val="single"/>
    </w:rPr>
  </w:style>
  <w:style w:styleId="Style_22_ch" w:type="character">
    <w:name w:val="Hyperlink"/>
    <w:link w:val="Style_22"/>
    <w:rPr>
      <w:color w:val="0000FF"/>
      <w:u w:val="single"/>
    </w:rPr>
  </w:style>
  <w:style w:styleId="Style_23" w:type="paragraph">
    <w:name w:val="Footnote"/>
    <w:link w:val="Style_23_ch"/>
    <w:pPr>
      <w:ind w:firstLine="851" w:left="0"/>
      <w:jc w:val="both"/>
    </w:pPr>
    <w:rPr>
      <w:rFonts w:ascii="XO Thames" w:hAnsi="XO Thames"/>
    </w:rPr>
  </w:style>
  <w:style w:styleId="Style_23_ch" w:type="character">
    <w:name w:val="Footnote"/>
    <w:link w:val="Style_23"/>
    <w:rPr>
      <w:rFonts w:ascii="XO Thames" w:hAnsi="XO Thames"/>
    </w:rPr>
  </w:style>
  <w:style w:styleId="Style_24" w:type="paragraph">
    <w:name w:val="toc 1"/>
    <w:next w:val="Style_7"/>
    <w:link w:val="Style_24_ch"/>
    <w:uiPriority w:val="39"/>
    <w:rPr>
      <w:rFonts w:ascii="XO Thames" w:hAnsi="XO Thames"/>
      <w:b w:val="1"/>
      <w:sz w:val="28"/>
    </w:rPr>
  </w:style>
  <w:style w:styleId="Style_24_ch" w:type="character">
    <w:name w:val="toc 1"/>
    <w:link w:val="Style_24"/>
    <w:rPr>
      <w:rFonts w:ascii="XO Thames" w:hAnsi="XO Thames"/>
      <w:b w:val="1"/>
      <w:sz w:val="28"/>
    </w:rPr>
  </w:style>
  <w:style w:styleId="Style_25" w:type="paragraph">
    <w:name w:val="header"/>
    <w:basedOn w:val="Style_7"/>
    <w:link w:val="Style_25_ch"/>
    <w:pPr>
      <w:tabs>
        <w:tab w:leader="none" w:pos="4153" w:val="center"/>
        <w:tab w:leader="none" w:pos="8306" w:val="right"/>
      </w:tabs>
      <w:ind/>
    </w:pPr>
  </w:style>
  <w:style w:styleId="Style_25_ch" w:type="character">
    <w:name w:val="header"/>
    <w:basedOn w:val="Style_7_ch"/>
    <w:link w:val="Style_25"/>
  </w:style>
  <w:style w:styleId="Style_26" w:type="paragraph">
    <w:name w:val="Header and Footer"/>
    <w:link w:val="Style_26_ch"/>
    <w:pPr>
      <w:ind/>
      <w:jc w:val="both"/>
    </w:pPr>
    <w:rPr>
      <w:rFonts w:ascii="XO Thames" w:hAnsi="XO Thames"/>
      <w:sz w:val="20"/>
    </w:rPr>
  </w:style>
  <w:style w:styleId="Style_26_ch" w:type="character">
    <w:name w:val="Header and Footer"/>
    <w:link w:val="Style_26"/>
    <w:rPr>
      <w:rFonts w:ascii="XO Thames" w:hAnsi="XO Thames"/>
      <w:sz w:val="20"/>
    </w:rPr>
  </w:style>
  <w:style w:styleId="Style_27" w:type="paragraph">
    <w:name w:val="toc 9"/>
    <w:next w:val="Style_7"/>
    <w:link w:val="Style_27_ch"/>
    <w:uiPriority w:val="39"/>
    <w:pPr>
      <w:ind w:firstLine="0" w:left="1600"/>
    </w:pPr>
    <w:rPr>
      <w:rFonts w:ascii="XO Thames" w:hAnsi="XO Thames"/>
      <w:sz w:val="28"/>
    </w:rPr>
  </w:style>
  <w:style w:styleId="Style_27_ch" w:type="character">
    <w:name w:val="toc 9"/>
    <w:link w:val="Style_27"/>
    <w:rPr>
      <w:rFonts w:ascii="XO Thames" w:hAnsi="XO Thames"/>
      <w:sz w:val="28"/>
    </w:rPr>
  </w:style>
  <w:style w:styleId="Style_28" w:type="paragraph">
    <w:name w:val="toc 8"/>
    <w:next w:val="Style_7"/>
    <w:link w:val="Style_28_ch"/>
    <w:uiPriority w:val="39"/>
    <w:pPr>
      <w:ind w:firstLine="0" w:left="1400"/>
    </w:pPr>
    <w:rPr>
      <w:rFonts w:ascii="XO Thames" w:hAnsi="XO Thames"/>
      <w:sz w:val="28"/>
    </w:rPr>
  </w:style>
  <w:style w:styleId="Style_28_ch" w:type="character">
    <w:name w:val="toc 8"/>
    <w:link w:val="Style_28"/>
    <w:rPr>
      <w:rFonts w:ascii="XO Thames" w:hAnsi="XO Thames"/>
      <w:sz w:val="28"/>
    </w:rPr>
  </w:style>
  <w:style w:styleId="Style_4" w:type="paragraph">
    <w:name w:val="List Paragraph"/>
    <w:basedOn w:val="Style_7"/>
    <w:link w:val="Style_4_ch"/>
    <w:pPr>
      <w:ind w:firstLine="0" w:left="720"/>
      <w:contextualSpacing w:val="1"/>
    </w:pPr>
  </w:style>
  <w:style w:styleId="Style_4_ch" w:type="character">
    <w:name w:val="List Paragraph"/>
    <w:basedOn w:val="Style_7_ch"/>
    <w:link w:val="Style_4"/>
  </w:style>
  <w:style w:styleId="Style_29" w:type="paragraph">
    <w:name w:val="toc 5"/>
    <w:next w:val="Style_7"/>
    <w:link w:val="Style_29_ch"/>
    <w:uiPriority w:val="39"/>
    <w:pPr>
      <w:ind w:firstLine="0" w:left="800"/>
    </w:pPr>
    <w:rPr>
      <w:rFonts w:ascii="XO Thames" w:hAnsi="XO Thames"/>
      <w:sz w:val="28"/>
    </w:rPr>
  </w:style>
  <w:style w:styleId="Style_29_ch" w:type="character">
    <w:name w:val="toc 5"/>
    <w:link w:val="Style_29"/>
    <w:rPr>
      <w:rFonts w:ascii="XO Thames" w:hAnsi="XO Thames"/>
      <w:sz w:val="28"/>
    </w:rPr>
  </w:style>
  <w:style w:styleId="Style_6" w:type="paragraph">
    <w:name w:val="ConsPlusNormal"/>
    <w:link w:val="Style_6_ch"/>
    <w:pPr>
      <w:widowControl w:val="0"/>
      <w:ind w:firstLine="720" w:left="0"/>
    </w:pPr>
    <w:rPr>
      <w:rFonts w:ascii="Arial" w:hAnsi="Arial"/>
      <w:sz w:val="20"/>
    </w:rPr>
  </w:style>
  <w:style w:styleId="Style_6_ch" w:type="character">
    <w:name w:val="ConsPlusNormal"/>
    <w:link w:val="Style_6"/>
    <w:rPr>
      <w:rFonts w:ascii="Arial" w:hAnsi="Arial"/>
      <w:sz w:val="20"/>
    </w:rPr>
  </w:style>
  <w:style w:styleId="Style_30" w:type="paragraph">
    <w:name w:val="Гиперссылка1"/>
    <w:basedOn w:val="Style_19"/>
    <w:link w:val="Style_30_ch"/>
    <w:rPr>
      <w:color w:val="0000FF"/>
      <w:u w:val="single"/>
    </w:rPr>
  </w:style>
  <w:style w:styleId="Style_30_ch" w:type="character">
    <w:name w:val="Гиперссылка1"/>
    <w:basedOn w:val="Style_19_ch"/>
    <w:link w:val="Style_30"/>
    <w:rPr>
      <w:color w:val="0000FF"/>
      <w:u w:val="single"/>
    </w:rPr>
  </w:style>
  <w:style w:styleId="Style_31" w:type="paragraph">
    <w:name w:val="Гиперссылка2"/>
    <w:link w:val="Style_31_ch"/>
    <w:rPr>
      <w:color w:val="0000FF"/>
      <w:u w:val="single"/>
    </w:rPr>
  </w:style>
  <w:style w:styleId="Style_31_ch" w:type="character">
    <w:name w:val="Гиперссылка2"/>
    <w:link w:val="Style_31"/>
    <w:rPr>
      <w:color w:val="0000FF"/>
      <w:u w:val="single"/>
    </w:rPr>
  </w:style>
  <w:style w:styleId="Style_32" w:type="paragraph">
    <w:name w:val="Основной шрифт абзаца2"/>
    <w:link w:val="Style_32_ch"/>
  </w:style>
  <w:style w:styleId="Style_32_ch" w:type="character">
    <w:name w:val="Основной шрифт абзаца2"/>
    <w:link w:val="Style_32"/>
  </w:style>
  <w:style w:styleId="Style_33" w:type="paragraph">
    <w:name w:val="Subtitle"/>
    <w:next w:val="Style_7"/>
    <w:link w:val="Style_33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3_ch" w:type="character">
    <w:name w:val="Subtitle"/>
    <w:link w:val="Style_33"/>
    <w:rPr>
      <w:rFonts w:ascii="XO Thames" w:hAnsi="XO Thames"/>
      <w:i w:val="1"/>
      <w:sz w:val="24"/>
    </w:rPr>
  </w:style>
  <w:style w:styleId="Style_34" w:type="paragraph">
    <w:name w:val="ConsTitle"/>
    <w:link w:val="Style_34_ch"/>
    <w:pPr>
      <w:widowControl w:val="0"/>
      <w:ind w:right="19772"/>
    </w:pPr>
    <w:rPr>
      <w:rFonts w:ascii="Arial" w:hAnsi="Arial"/>
      <w:b w:val="1"/>
      <w:sz w:val="16"/>
    </w:rPr>
  </w:style>
  <w:style w:styleId="Style_34_ch" w:type="character">
    <w:name w:val="ConsTitle"/>
    <w:link w:val="Style_34"/>
    <w:rPr>
      <w:rFonts w:ascii="Arial" w:hAnsi="Arial"/>
      <w:b w:val="1"/>
      <w:sz w:val="16"/>
    </w:rPr>
  </w:style>
  <w:style w:styleId="Style_35" w:type="paragraph">
    <w:name w:val="Title"/>
    <w:next w:val="Style_7"/>
    <w:link w:val="Style_35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5_ch" w:type="character">
    <w:name w:val="Title"/>
    <w:link w:val="Style_35"/>
    <w:rPr>
      <w:rFonts w:ascii="XO Thames" w:hAnsi="XO Thames"/>
      <w:b w:val="1"/>
      <w:caps w:val="1"/>
      <w:sz w:val="40"/>
    </w:rPr>
  </w:style>
  <w:style w:styleId="Style_36" w:type="paragraph">
    <w:name w:val="heading 4"/>
    <w:next w:val="Style_7"/>
    <w:link w:val="Style_36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6_ch" w:type="character">
    <w:name w:val="heading 4"/>
    <w:link w:val="Style_36"/>
    <w:rPr>
      <w:rFonts w:ascii="XO Thames" w:hAnsi="XO Thames"/>
      <w:b w:val="1"/>
      <w:sz w:val="24"/>
    </w:rPr>
  </w:style>
  <w:style w:styleId="Style_37" w:type="paragraph">
    <w:name w:val="heading 2"/>
    <w:basedOn w:val="Style_7"/>
    <w:next w:val="Style_7"/>
    <w:link w:val="Style_37_ch"/>
    <w:uiPriority w:val="9"/>
    <w:qFormat/>
    <w:pPr>
      <w:keepNext w:val="1"/>
      <w:ind w:firstLine="0" w:left="709"/>
      <w:outlineLvl w:val="1"/>
    </w:pPr>
    <w:rPr>
      <w:rFonts w:ascii="Cambria" w:hAnsi="Cambria"/>
      <w:b w:val="1"/>
      <w:i w:val="1"/>
      <w:sz w:val="28"/>
    </w:rPr>
  </w:style>
  <w:style w:styleId="Style_37_ch" w:type="character">
    <w:name w:val="heading 2"/>
    <w:basedOn w:val="Style_7_ch"/>
    <w:link w:val="Style_37"/>
    <w:rPr>
      <w:rFonts w:ascii="Cambria" w:hAnsi="Cambria"/>
      <w:b w:val="1"/>
      <w:i w:val="1"/>
      <w:sz w:val="28"/>
    </w:rPr>
  </w:style>
  <w:style w:styleId="Style_38" w:type="paragraph">
    <w:name w:val="Body Text"/>
    <w:basedOn w:val="Style_7"/>
    <w:link w:val="Style_38_ch"/>
  </w:style>
  <w:style w:styleId="Style_38_ch" w:type="character">
    <w:name w:val="Body Text"/>
    <w:basedOn w:val="Style_7_ch"/>
    <w:link w:val="Style_38"/>
  </w:style>
  <w:style w:styleId="Style_39" w:type="paragraph">
    <w:name w:val="Default Paragraph Font"/>
    <w:link w:val="Style_39_ch"/>
  </w:style>
  <w:style w:styleId="Style_39_ch" w:type="character">
    <w:name w:val="Default Paragraph Font"/>
    <w:link w:val="Style_39"/>
  </w:style>
  <w:style w:default="1" w:styleId="Style_5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40" w:type="table">
    <w:name w:val="Table Grid"/>
    <w:basedOn w:val="Style_5"/>
    <w:rPr>
      <w:sz w:val="20"/>
    </w:r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0" Target="numbering.xml" Type="http://schemas.openxmlformats.org/officeDocument/2006/relationships/numbering"/>
  <Relationship Id="rId9" Target="theme/theme1.xml" Type="http://schemas.openxmlformats.org/officeDocument/2006/relationships/theme"/>
  <Relationship Id="rId8" Target="webSettings.xml" Type="http://schemas.openxmlformats.org/officeDocument/2006/relationships/webSettings"/>
  <Relationship Id="rId7" Target="stylesWithEffects.xml" Type="http://schemas.microsoft.com/office/2007/relationships/stylesWithEffects"/>
  <Relationship Id="rId6" Target="styles.xml" Type="http://schemas.openxmlformats.org/officeDocument/2006/relationships/styles"/>
  <Relationship Id="rId5" Target="settings.xml" Type="http://schemas.openxmlformats.org/officeDocument/2006/relationships/settings"/>
  <Relationship Id="rId4" Target="fontTable.xml" Type="http://schemas.openxmlformats.org/officeDocument/2006/relationships/fontTable"/>
  <Relationship Id="rId3" Target="footer3.xml" Type="http://schemas.openxmlformats.org/officeDocument/2006/relationships/footer"/>
  <Relationship Id="rId2" Target="footer2.xml" Type="http://schemas.openxmlformats.org/officeDocument/2006/relationships/footer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2025-02-26T11:15:04Z</dcterms:modified>
</cp:coreProperties>
</file>