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9000000">
      <w:pPr>
        <w:ind/>
        <w:jc w:val="center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14:paraId="0B000000">
      <w:pPr>
        <w:ind/>
        <w:jc w:val="center"/>
        <w:rPr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    </w:t>
      </w:r>
    </w:p>
    <w:p w14:paraId="0D000000">
      <w:pPr>
        <w:tabs>
          <w:tab w:leader="none" w:pos="6949" w:val="left"/>
        </w:tabs>
        <w:ind/>
        <w:rPr>
          <w:sz w:val="28"/>
        </w:rPr>
      </w:pPr>
    </w:p>
    <w:p w14:paraId="0E000000">
      <w:pPr>
        <w:tabs>
          <w:tab w:leader="none" w:pos="6949" w:val="left"/>
        </w:tabs>
        <w:ind/>
        <w:rPr>
          <w:sz w:val="28"/>
        </w:rPr>
      </w:pPr>
      <w:r>
        <w:rPr>
          <w:sz w:val="28"/>
        </w:rPr>
        <w:t xml:space="preserve">21.02.2024                              </w:t>
      </w:r>
      <w:r>
        <w:rPr>
          <w:sz w:val="28"/>
        </w:rPr>
        <w:t>х</w:t>
      </w:r>
      <w:r>
        <w:rPr>
          <w:sz w:val="28"/>
        </w:rPr>
        <w:t>.К</w:t>
      </w:r>
      <w:r>
        <w:rPr>
          <w:sz w:val="28"/>
        </w:rPr>
        <w:t>ринично-Лугский</w:t>
      </w:r>
      <w:r>
        <w:rPr>
          <w:sz w:val="28"/>
        </w:rPr>
        <w:t xml:space="preserve">                                    № 28                      </w:t>
      </w:r>
    </w:p>
    <w:p w14:paraId="0F000000">
      <w:pPr>
        <w:ind/>
        <w:jc w:val="center"/>
        <w:rPr>
          <w:b w:val="1"/>
          <w:spacing w:val="30"/>
          <w:sz w:val="28"/>
        </w:rPr>
      </w:pPr>
    </w:p>
    <w:p w14:paraId="10000000">
      <w:pPr>
        <w:ind w:firstLine="709" w:left="0"/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от 20.09.2022 № 99 «Об утверждении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годов»</w:t>
      </w:r>
    </w:p>
    <w:p w14:paraId="11000000">
      <w:pPr>
        <w:ind w:firstLine="709" w:left="0"/>
        <w:jc w:val="both"/>
        <w:rPr>
          <w:b w:val="1"/>
          <w:sz w:val="28"/>
        </w:rPr>
      </w:pPr>
    </w:p>
    <w:p w14:paraId="12000000">
      <w:pPr>
        <w:ind w:firstLine="851" w:left="0" w:right="-2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 соответствии с постановлением Правительства Ростовской области от 29.08.2022 № 724 «Об утверждении бюджетного прогноза Ростовской области на период 2023-2036 годов» </w:t>
      </w:r>
      <w:r>
        <w:rPr>
          <w:spacing w:val="-2"/>
          <w:sz w:val="28"/>
        </w:rPr>
        <w:t>ПОСТАНОВЛЯЮ:</w:t>
      </w:r>
    </w:p>
    <w:p w14:paraId="13000000">
      <w:pPr>
        <w:ind w:firstLine="709" w:left="0"/>
        <w:jc w:val="center"/>
        <w:rPr>
          <w:b w:val="1"/>
          <w:spacing w:val="-2"/>
          <w:sz w:val="28"/>
        </w:rPr>
      </w:pPr>
    </w:p>
    <w:p w14:paraId="14000000">
      <w:pPr>
        <w:tabs>
          <w:tab w:leader="none" w:pos="426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20.09.2022 № 99 «Об утверждении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годов» изменение, изложив приложение к нему в редакции согласно приложению к настоящему постановлению.</w:t>
      </w:r>
    </w:p>
    <w:p w14:paraId="15000000">
      <w:pPr>
        <w:ind w:firstLine="900" w:left="0"/>
        <w:jc w:val="both"/>
        <w:rPr>
          <w:spacing w:val="-5"/>
          <w:sz w:val="28"/>
        </w:rPr>
      </w:pPr>
      <w:r>
        <w:rPr>
          <w:sz w:val="28"/>
        </w:rPr>
        <w:t>2. О</w:t>
      </w:r>
      <w:r>
        <w:rPr>
          <w:spacing w:val="-5"/>
          <w:sz w:val="28"/>
        </w:rPr>
        <w:t xml:space="preserve">публиковать настоящее постановление в информационном бюллетене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и разместить на  официальном сайте Администрации </w:t>
      </w:r>
      <w:r>
        <w:rPr>
          <w:sz w:val="28"/>
        </w:rPr>
        <w:t>Кринично-Лугского</w:t>
      </w:r>
      <w:r>
        <w:rPr>
          <w:spacing w:val="-5"/>
          <w:sz w:val="28"/>
        </w:rPr>
        <w:t xml:space="preserve"> сельского поселения в сети Интернет.</w:t>
      </w:r>
    </w:p>
    <w:p w14:paraId="16000000">
      <w:pPr>
        <w:pStyle w:val="Style_3"/>
        <w:ind w:firstLine="900" w:left="0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опубликования.</w:t>
      </w:r>
    </w:p>
    <w:p w14:paraId="17000000">
      <w:pPr>
        <w:ind w:firstLine="900" w:left="0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4. </w:t>
      </w:r>
      <w:r>
        <w:rPr>
          <w:spacing w:val="-2"/>
          <w:sz w:val="28"/>
        </w:rPr>
        <w:t>Контроль за</w:t>
      </w:r>
      <w:r>
        <w:rPr>
          <w:spacing w:val="-2"/>
          <w:sz w:val="28"/>
        </w:rPr>
        <w:t xml:space="preserve"> выполнением настоящего постановления возложить на заведующего сектором экономики и финансов Билую М.Н. 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Р.А. </w:t>
      </w:r>
      <w:r>
        <w:rPr>
          <w:sz w:val="28"/>
        </w:rPr>
        <w:t>Юнда</w:t>
      </w:r>
      <w:r>
        <w:rPr>
          <w:sz w:val="28"/>
        </w:rPr>
        <w:t xml:space="preserve"> 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Постановление вносит </w:t>
      </w:r>
    </w:p>
    <w:p w14:paraId="1D000000">
      <w:pPr>
        <w:widowControl w:val="0"/>
        <w:ind/>
        <w:jc w:val="both"/>
        <w:rPr>
          <w:sz w:val="24"/>
        </w:rPr>
      </w:pPr>
      <w:r>
        <w:rPr>
          <w:sz w:val="24"/>
        </w:rPr>
        <w:t>Сектор экономики и финансов</w:t>
      </w:r>
    </w:p>
    <w:p w14:paraId="1E000000">
      <w:pPr>
        <w:widowControl w:val="0"/>
        <w:ind/>
        <w:jc w:val="both"/>
        <w:rPr>
          <w:sz w:val="24"/>
        </w:rPr>
      </w:pPr>
    </w:p>
    <w:p w14:paraId="1F000000">
      <w:pPr>
        <w:widowControl w:val="0"/>
        <w:ind/>
        <w:jc w:val="both"/>
        <w:rPr>
          <w:sz w:val="24"/>
        </w:rPr>
      </w:pPr>
    </w:p>
    <w:p w14:paraId="20000000">
      <w:pPr>
        <w:widowControl w:val="0"/>
        <w:ind/>
        <w:jc w:val="both"/>
        <w:rPr>
          <w:sz w:val="24"/>
        </w:rPr>
      </w:pPr>
    </w:p>
    <w:p w14:paraId="21000000">
      <w:pPr>
        <w:widowControl w:val="0"/>
        <w:ind/>
        <w:jc w:val="both"/>
        <w:rPr>
          <w:sz w:val="24"/>
        </w:rPr>
      </w:pPr>
    </w:p>
    <w:p w14:paraId="22000000">
      <w:pPr>
        <w:widowControl w:val="0"/>
        <w:ind/>
        <w:jc w:val="both"/>
        <w:rPr>
          <w:sz w:val="24"/>
        </w:rPr>
      </w:pPr>
    </w:p>
    <w:p w14:paraId="23000000">
      <w:pPr>
        <w:widowControl w:val="0"/>
        <w:ind/>
        <w:jc w:val="both"/>
        <w:rPr>
          <w:sz w:val="24"/>
        </w:rPr>
      </w:pPr>
    </w:p>
    <w:p w14:paraId="24000000">
      <w:pPr>
        <w:widowControl w:val="0"/>
        <w:ind/>
        <w:jc w:val="both"/>
        <w:rPr>
          <w:sz w:val="24"/>
        </w:rPr>
      </w:pPr>
    </w:p>
    <w:p w14:paraId="25000000">
      <w:pPr>
        <w:widowControl w:val="0"/>
        <w:ind/>
        <w:jc w:val="both"/>
        <w:rPr>
          <w:sz w:val="24"/>
        </w:rPr>
      </w:pPr>
    </w:p>
    <w:p w14:paraId="26000000">
      <w:pPr>
        <w:widowControl w:val="0"/>
        <w:ind/>
        <w:jc w:val="both"/>
        <w:rPr>
          <w:sz w:val="24"/>
        </w:rPr>
      </w:pPr>
    </w:p>
    <w:p w14:paraId="27000000">
      <w:pPr>
        <w:widowControl w:val="0"/>
        <w:ind w:firstLine="0" w:left="450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8000000">
      <w:pPr>
        <w:widowControl w:val="0"/>
        <w:ind w:firstLine="0" w:left="2836"/>
        <w:jc w:val="right"/>
        <w:rPr>
          <w:sz w:val="24"/>
        </w:rPr>
      </w:pPr>
      <w:r>
        <w:rPr>
          <w:sz w:val="24"/>
        </w:rPr>
        <w:t xml:space="preserve">                           к постановлению Администрации</w:t>
      </w:r>
    </w:p>
    <w:p w14:paraId="29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</w:t>
      </w:r>
    </w:p>
    <w:p w14:paraId="2A000000">
      <w:pPr>
        <w:widowControl w:val="0"/>
        <w:ind w:firstLine="0" w:left="3700"/>
        <w:jc w:val="right"/>
        <w:rPr>
          <w:sz w:val="24"/>
        </w:rPr>
      </w:pPr>
      <w:r>
        <w:rPr>
          <w:sz w:val="24"/>
        </w:rPr>
        <w:t>от 21.02.2024  № 28</w:t>
      </w:r>
    </w:p>
    <w:p w14:paraId="2B000000">
      <w:pPr>
        <w:ind w:firstLine="0" w:left="6804"/>
        <w:jc w:val="center"/>
        <w:rPr>
          <w:sz w:val="28"/>
        </w:rPr>
      </w:pPr>
      <w:bookmarkStart w:id="1" w:name="Par50"/>
      <w:bookmarkEnd w:id="1"/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БЮДЖЕТНЫЙ ПРОГНОЗ</w:t>
      </w:r>
    </w:p>
    <w:p w14:paraId="2D000000">
      <w:pPr>
        <w:widowControl w:val="0"/>
        <w:ind/>
        <w:jc w:val="center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 – 2036 годов</w:t>
      </w:r>
    </w:p>
    <w:p w14:paraId="2E000000">
      <w:pPr>
        <w:pStyle w:val="Style_4"/>
        <w:ind w:firstLine="142" w:left="0"/>
        <w:jc w:val="center"/>
        <w:rPr>
          <w:sz w:val="28"/>
        </w:rPr>
      </w:pPr>
    </w:p>
    <w:p w14:paraId="2F000000">
      <w:pPr>
        <w:spacing w:line="228" w:lineRule="auto"/>
        <w:ind/>
        <w:jc w:val="center"/>
        <w:rPr>
          <w:sz w:val="28"/>
        </w:rPr>
      </w:pPr>
      <w:r>
        <w:tab/>
      </w:r>
      <w:r>
        <w:rPr>
          <w:sz w:val="28"/>
        </w:rPr>
        <w:t>Общие положения</w:t>
      </w:r>
    </w:p>
    <w:p w14:paraId="30000000">
      <w:pPr>
        <w:spacing w:line="228" w:lineRule="auto"/>
        <w:ind/>
        <w:jc w:val="center"/>
        <w:rPr>
          <w:sz w:val="28"/>
        </w:rPr>
      </w:pPr>
    </w:p>
    <w:p w14:paraId="3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14:paraId="3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14:paraId="33000000">
      <w:pPr>
        <w:ind w:firstLine="700" w:left="0" w:right="-2"/>
        <w:jc w:val="both"/>
        <w:rPr>
          <w:sz w:val="28"/>
        </w:rPr>
      </w:pPr>
      <w:r>
        <w:rPr>
          <w:sz w:val="28"/>
        </w:rPr>
        <w:t>На региональном уровне принят Областной закон от 20.10.2015 № 416-ЗС «О стратегическом планировании в Ростовской области». Решение Собрания депутатов 11.12.2020 № 244 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дополнено статьей 19 «Долгосрочное бюджетное планирование». </w:t>
      </w:r>
    </w:p>
    <w:p w14:paraId="34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Правила разработки и утверждения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долгосрочный период утверждены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30.12.2015 № 257 «Об утверждении Правил разработки и утверждения бюджетного прогноза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долгосрочный период».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3 статьи 170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разработан на основе долгосрочного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</w:t>
      </w:r>
      <w:r>
        <w:rPr>
          <w:spacing w:val="-2"/>
          <w:sz w:val="28"/>
        </w:rPr>
        <w:t xml:space="preserve">до 2036 года, </w:t>
      </w:r>
      <w:r>
        <w:rPr>
          <w:sz w:val="28"/>
        </w:rPr>
        <w:t xml:space="preserve">утвержденного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25.11.2019 № 101 «О долгосрочном прогнозе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до 2036 года» (далее – долгосрочный прогноз</w:t>
      </w:r>
      <w:r>
        <w:rPr>
          <w:sz w:val="28"/>
        </w:rPr>
        <w:t xml:space="preserve"> </w:t>
      </w:r>
      <w:r>
        <w:rPr>
          <w:sz w:val="28"/>
        </w:rPr>
        <w:t>социально-экономического развития).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Бюджетный прогноз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 (дале</w:t>
      </w:r>
      <w:r>
        <w:rPr>
          <w:sz w:val="28"/>
        </w:rPr>
        <w:t>е-</w:t>
      </w:r>
      <w:r>
        <w:rPr>
          <w:sz w:val="28"/>
        </w:rPr>
        <w:t xml:space="preserve"> бюджетный прогноз) содержит информацию об основных параметрах второго варианта долгосрочного прогноза социально-экономического развития Ростовской области, определенных в качестве базовых для целей долгосрочного бюджетного планирования,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а также основные подходы к формированию бюджетной политики в указанном периоде. Параметры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их действия соответствуют параметрам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утвержденным решением Собрания депутатов о бюджете на очередной финансовый год и на плановый период.</w:t>
      </w:r>
    </w:p>
    <w:p w14:paraId="37000000">
      <w:pPr>
        <w:ind w:firstLine="709" w:left="0"/>
        <w:jc w:val="both"/>
        <w:rPr>
          <w:sz w:val="28"/>
          <w:shd w:fill="FFE779" w:val="clear"/>
        </w:rPr>
      </w:pPr>
      <w:r>
        <w:rPr>
          <w:sz w:val="28"/>
        </w:rPr>
        <w:t xml:space="preserve"> На период 2023-2036 годов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доходам сформированы на основе прогноза поступлений налоговых и неналоговых доходов от главных администраторов доходов бюджета сельского поселения, а также прогноза безвозмездных поступлений. </w:t>
      </w:r>
      <w:r>
        <w:rPr>
          <w:color w:themeColor="text1" w:val="000000"/>
          <w:sz w:val="28"/>
        </w:rPr>
        <w:t xml:space="preserve">Ежегодно средний темп роста  налоговых и неналоговых доходов бюджета </w:t>
      </w:r>
      <w:r>
        <w:rPr>
          <w:color w:themeColor="text1" w:val="000000"/>
          <w:sz w:val="28"/>
        </w:rPr>
        <w:t>составит</w:t>
      </w:r>
      <w:r>
        <w:rPr>
          <w:color w:themeColor="text1" w:val="000000"/>
          <w:sz w:val="28"/>
        </w:rPr>
        <w:t xml:space="preserve"> 4,0 процента.</w:t>
      </w:r>
      <w:r>
        <w:rPr>
          <w:color w:themeColor="text1" w:val="000000"/>
          <w:sz w:val="28"/>
        </w:rPr>
        <w:t xml:space="preserve"> Объем безвозмездных поступлений запланирован на уровне показателей 202</w:t>
      </w:r>
      <w:r>
        <w:rPr>
          <w:color w:themeColor="text1" w:val="000000"/>
          <w:sz w:val="28"/>
        </w:rPr>
        <w:t>6</w:t>
      </w:r>
      <w:r>
        <w:rPr>
          <w:color w:themeColor="text1" w:val="000000"/>
          <w:sz w:val="28"/>
        </w:rPr>
        <w:t xml:space="preserve"> года до 2036 года.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расходам рассчитаны с учетом прогноза доходов.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2023-2036 годов прогнозируется сбалансированный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A000000">
      <w:pPr>
        <w:ind w:firstLine="708" w:left="0"/>
        <w:jc w:val="both"/>
        <w:rPr>
          <w:sz w:val="28"/>
        </w:rPr>
      </w:pPr>
      <w:r>
        <w:rPr>
          <w:sz w:val="28"/>
        </w:rPr>
        <w:t>Бюджетным прогнозом предусмотрено отсутствие муниципального долга за период 2023-2036 годов.</w:t>
      </w:r>
    </w:p>
    <w:p w14:paraId="3B000000">
      <w:pPr>
        <w:ind w:firstLine="708" w:left="0"/>
        <w:jc w:val="both"/>
        <w:rPr>
          <w:sz w:val="28"/>
        </w:rPr>
      </w:pPr>
      <w:r>
        <w:rPr>
          <w:sz w:val="28"/>
        </w:rPr>
        <w:t>Доходы и расходы бюджета поселения в целом прогнозируются к 2036 году с увеличением от уровня 2023 года в реальном выражении в 1,</w:t>
      </w:r>
      <w:r>
        <w:rPr>
          <w:sz w:val="28"/>
        </w:rPr>
        <w:t>4</w:t>
      </w:r>
      <w:bookmarkStart w:id="2" w:name="_GoBack"/>
      <w:bookmarkEnd w:id="2"/>
      <w:r>
        <w:rPr>
          <w:sz w:val="28"/>
        </w:rPr>
        <w:t xml:space="preserve"> раза. 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 период 2023 года параметры бюджетного прогноза сформированы с</w:t>
      </w:r>
      <w:r>
        <w:t> </w:t>
      </w:r>
      <w:r>
        <w:rPr>
          <w:sz w:val="28"/>
        </w:rPr>
        <w:t xml:space="preserve">учетом </w:t>
      </w:r>
      <w:r>
        <w:rPr>
          <w:spacing w:val="-4"/>
          <w:sz w:val="28"/>
        </w:rPr>
        <w:t xml:space="preserve">первоначально утвержденного </w:t>
      </w:r>
      <w:r>
        <w:rPr>
          <w:sz w:val="28"/>
        </w:rPr>
        <w:t xml:space="preserve">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23.12.2022 № 62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2023 год и плановый период 2024 и 2025 годов».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поселения на период 2024 – 2026 годов приведены </w:t>
      </w:r>
      <w:r>
        <w:rPr>
          <w:spacing w:val="-4"/>
          <w:sz w:val="28"/>
        </w:rPr>
        <w:t xml:space="preserve">в соответствие с первоначально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годов».</w:t>
      </w:r>
    </w:p>
    <w:p w14:paraId="3E000000">
      <w:pPr>
        <w:ind w:firstLine="708" w:left="0"/>
        <w:jc w:val="both"/>
        <w:rPr>
          <w:sz w:val="28"/>
        </w:rPr>
      </w:pPr>
    </w:p>
    <w:p w14:paraId="3F000000">
      <w:pPr>
        <w:tabs>
          <w:tab w:leader="none" w:pos="1005" w:val="left"/>
        </w:tabs>
        <w:ind/>
      </w:pPr>
    </w:p>
    <w:p w14:paraId="40000000"/>
    <w:p w14:paraId="41000000">
      <w:pPr>
        <w:sectPr>
          <w:footerReference r:id="rId1" w:type="default"/>
          <w:pgSz w:h="16840" w:orient="portrait" w:w="11907"/>
          <w:pgMar w:bottom="851" w:footer="720" w:gutter="0" w:header="720" w:left="1701" w:right="567" w:top="1134"/>
        </w:sectPr>
      </w:pPr>
    </w:p>
    <w:p w14:paraId="42000000">
      <w:pPr>
        <w:pStyle w:val="Style_4"/>
        <w:widowControl w:val="0"/>
        <w:numPr>
          <w:ilvl w:val="0"/>
          <w:numId w:val="1"/>
        </w:numPr>
        <w:ind/>
        <w:jc w:val="center"/>
        <w:rPr>
          <w:sz w:val="28"/>
        </w:rPr>
      </w:pPr>
      <w:r>
        <w:rPr>
          <w:sz w:val="28"/>
        </w:rPr>
        <w:t>Основные параметры варианта долгосрочного прогноза, определенные в качестве базовых для целей долгосрочного бюджетного планирования</w:t>
      </w:r>
    </w:p>
    <w:p w14:paraId="43000000">
      <w:pPr>
        <w:pStyle w:val="Style_4"/>
        <w:widowControl w:val="0"/>
        <w:ind w:firstLine="0" w:left="928"/>
        <w:rPr>
          <w:sz w:val="28"/>
        </w:rPr>
      </w:pPr>
    </w:p>
    <w:p w14:paraId="44000000">
      <w:pPr>
        <w:widowControl w:val="0"/>
        <w:ind/>
        <w:jc w:val="right"/>
        <w:rPr>
          <w:sz w:val="28"/>
        </w:rPr>
      </w:pPr>
      <w:r>
        <w:rPr>
          <w:sz w:val="28"/>
        </w:rPr>
        <w:t xml:space="preserve"> (тыс. рублей)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359"/>
        <w:gridCol w:w="3289"/>
        <w:gridCol w:w="1682"/>
        <w:gridCol w:w="702"/>
        <w:gridCol w:w="701"/>
        <w:gridCol w:w="702"/>
        <w:gridCol w:w="702"/>
        <w:gridCol w:w="702"/>
        <w:gridCol w:w="701"/>
        <w:gridCol w:w="702"/>
        <w:gridCol w:w="702"/>
        <w:gridCol w:w="702"/>
        <w:gridCol w:w="701"/>
        <w:gridCol w:w="736"/>
        <w:gridCol w:w="807"/>
        <w:gridCol w:w="807"/>
        <w:gridCol w:w="807"/>
      </w:tblGrid>
      <w:tr>
        <w:tc>
          <w:tcPr>
            <w:tcW w:type="dxa" w:w="3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показателя</w:t>
            </w:r>
          </w:p>
        </w:tc>
        <w:tc>
          <w:tcPr>
            <w:tcW w:type="dxa" w:w="16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Единица измерения</w:t>
            </w:r>
          </w:p>
        </w:tc>
        <w:tc>
          <w:tcPr>
            <w:tcW w:type="dxa" w:w="10174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Год периода прогнозирования</w:t>
            </w:r>
          </w:p>
        </w:tc>
      </w:tr>
      <w:tr>
        <w:tc>
          <w:tcPr>
            <w:tcW w:type="dxa" w:w="3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32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/>
        </w:tc>
        <w:tc>
          <w:tcPr>
            <w:tcW w:type="dxa" w:w="16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2031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2032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2033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2036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6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Индекс потребительских цен</w:t>
            </w: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Процентов к предыдущему году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7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</w:tr>
      <w:tr>
        <w:tc>
          <w:tcPr>
            <w:tcW w:type="dxa" w:w="3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3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7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A000000">
      <w:pPr>
        <w:widowControl w:val="0"/>
        <w:ind/>
        <w:jc w:val="center"/>
        <w:rPr>
          <w:b w:val="1"/>
          <w:sz w:val="28"/>
        </w:rPr>
      </w:pPr>
    </w:p>
    <w:p w14:paraId="8B00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 Прогноз основных характеристик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8C000000">
      <w:pPr>
        <w:widowControl w:val="0"/>
        <w:ind w:firstLine="709" w:left="10635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105"/>
        <w:gridCol w:w="983"/>
        <w:gridCol w:w="982"/>
        <w:gridCol w:w="982"/>
        <w:gridCol w:w="982"/>
        <w:gridCol w:w="983"/>
        <w:gridCol w:w="982"/>
        <w:gridCol w:w="982"/>
        <w:gridCol w:w="912"/>
        <w:gridCol w:w="983"/>
        <w:gridCol w:w="982"/>
        <w:gridCol w:w="982"/>
        <w:gridCol w:w="842"/>
        <w:gridCol w:w="841"/>
        <w:gridCol w:w="982"/>
      </w:tblGrid>
      <w:tr>
        <w:tc>
          <w:tcPr>
            <w:tcW w:type="dxa" w:w="21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ind/>
              <w:jc w:val="center"/>
              <w:rPr>
                <w:sz w:val="24"/>
              </w:rPr>
            </w:pPr>
            <w:bookmarkStart w:id="3" w:name="Par308"/>
            <w:bookmarkEnd w:id="3"/>
            <w:r>
              <w:rPr>
                <w:sz w:val="24"/>
              </w:rPr>
              <w:t>Наименование показателя</w:t>
            </w:r>
          </w:p>
        </w:tc>
        <w:tc>
          <w:tcPr>
            <w:tcW w:type="dxa" w:w="13400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 периода прогнозирования</w:t>
            </w:r>
          </w:p>
        </w:tc>
      </w:tr>
      <w:tr>
        <w:tc>
          <w:tcPr>
            <w:tcW w:type="dxa" w:w="21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9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14:paraId="9D000000">
      <w:pPr>
        <w:widowControl w:val="0"/>
        <w:ind/>
        <w:jc w:val="center"/>
        <w:rPr>
          <w:sz w:val="24"/>
        </w:rPr>
      </w:pPr>
    </w:p>
    <w:tbl>
      <w:tblPr>
        <w:tblStyle w:val="Style_5"/>
        <w:tblInd w:type="dxa" w:w="-364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2096"/>
        <w:gridCol w:w="978"/>
        <w:gridCol w:w="977"/>
        <w:gridCol w:w="977"/>
        <w:gridCol w:w="977"/>
        <w:gridCol w:w="978"/>
        <w:gridCol w:w="977"/>
        <w:gridCol w:w="977"/>
        <w:gridCol w:w="977"/>
        <w:gridCol w:w="982"/>
        <w:gridCol w:w="837"/>
        <w:gridCol w:w="977"/>
        <w:gridCol w:w="838"/>
        <w:gridCol w:w="977"/>
        <w:gridCol w:w="977"/>
      </w:tblGrid>
      <w:tr>
        <w:trPr>
          <w:trHeight w:hRule="atLeast" w:val="205"/>
          <w:tblHeader/>
        </w:trP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  <w:vAlign w:val="center"/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>
        <w:tc>
          <w:tcPr>
            <w:tcW w:type="dxa" w:w="1271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Показатели бюджета </w:t>
            </w:r>
            <w:r>
              <w:rPr>
                <w:sz w:val="24"/>
              </w:rPr>
              <w:t>Кринично-Лугского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838"/>
            <w:tcMar>
              <w:top w:type="dxa" w:w="75"/>
              <w:left w:type="dxa" w:w="0"/>
              <w:bottom w:type="dxa" w:w="75"/>
              <w:right w:type="dxa" w:w="0"/>
            </w:tcMar>
          </w:tcPr>
          <w:p w14:paraId="AE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00000"/>
        </w:tc>
        <w:tc>
          <w:tcPr>
            <w:tcW w:type="dxa" w:w="97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/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00000">
            <w:pPr>
              <w:rPr>
                <w:sz w:val="24"/>
              </w:rPr>
            </w:pPr>
            <w:r>
              <w:rPr>
                <w:sz w:val="24"/>
              </w:rPr>
              <w:t>28 387,7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00000">
            <w:pPr>
              <w:rPr>
                <w:sz w:val="24"/>
              </w:rPr>
            </w:pPr>
            <w:r>
              <w:rPr>
                <w:sz w:val="24"/>
              </w:rPr>
              <w:t>29 668,6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00000">
            <w:pPr>
              <w:rPr>
                <w:sz w:val="24"/>
              </w:rPr>
            </w:pPr>
            <w:r>
              <w:rPr>
                <w:sz w:val="24"/>
              </w:rPr>
              <w:t>28 917,5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00000">
            <w:pPr>
              <w:rPr>
                <w:sz w:val="24"/>
              </w:rPr>
            </w:pPr>
            <w:r>
              <w:rPr>
                <w:sz w:val="24"/>
              </w:rPr>
              <w:t>29719,8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30554,1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00000">
            <w:pPr>
              <w:rPr>
                <w:sz w:val="24"/>
              </w:rPr>
            </w:pPr>
            <w:r>
              <w:rPr>
                <w:sz w:val="24"/>
              </w:rPr>
              <w:t>31421,9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32324,3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>33 262,9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34239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00000">
            <w:pPr>
              <w:rPr>
                <w:sz w:val="24"/>
              </w:rPr>
            </w:pPr>
            <w:r>
              <w:rPr>
                <w:sz w:val="24"/>
              </w:rPr>
              <w:t>35254,1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BD000000">
            <w:pPr>
              <w:rPr>
                <w:sz w:val="24"/>
              </w:rPr>
            </w:pPr>
            <w:r>
              <w:rPr>
                <w:sz w:val="24"/>
              </w:rPr>
              <w:t>36309,8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37407,8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00000">
            <w:pPr>
              <w:rPr>
                <w:sz w:val="24"/>
              </w:rPr>
            </w:pPr>
            <w:r>
              <w:rPr>
                <w:sz w:val="24"/>
              </w:rPr>
              <w:t>38549,6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14 649,7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rPr>
                <w:sz w:val="24"/>
              </w:rPr>
            </w:pPr>
            <w:r>
              <w:rPr>
                <w:sz w:val="24"/>
              </w:rPr>
              <w:t>14 302,3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rPr>
                <w:sz w:val="24"/>
              </w:rPr>
            </w:pPr>
            <w:r>
              <w:rPr>
                <w:sz w:val="24"/>
              </w:rPr>
              <w:t>19 905,8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rPr>
                <w:sz w:val="24"/>
              </w:rPr>
            </w:pPr>
            <w:r>
              <w:rPr>
                <w:sz w:val="24"/>
              </w:rPr>
              <w:t>20 056,8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20 859,1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00000">
            <w:pPr>
              <w:rPr>
                <w:sz w:val="24"/>
              </w:rPr>
            </w:pPr>
            <w:r>
              <w:rPr>
                <w:sz w:val="24"/>
              </w:rPr>
              <w:t>21 693,4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22 561,2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23 463,6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00000">
            <w:pPr>
              <w:rPr>
                <w:sz w:val="24"/>
              </w:rPr>
            </w:pPr>
            <w:r>
              <w:rPr>
                <w:sz w:val="24"/>
              </w:rPr>
              <w:t>24 402,2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A000000">
            <w:pPr>
              <w:rPr>
                <w:sz w:val="24"/>
              </w:rPr>
            </w:pPr>
            <w:r>
              <w:rPr>
                <w:sz w:val="24"/>
              </w:rPr>
              <w:t>25378,3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rPr>
                <w:sz w:val="24"/>
              </w:rPr>
            </w:pPr>
            <w:r>
              <w:rPr>
                <w:sz w:val="24"/>
              </w:rPr>
              <w:t>26393,4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CC000000">
            <w:pPr>
              <w:rPr>
                <w:sz w:val="24"/>
              </w:rPr>
            </w:pPr>
            <w:r>
              <w:rPr>
                <w:sz w:val="24"/>
              </w:rPr>
              <w:t>27449,1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rPr>
                <w:sz w:val="24"/>
              </w:rPr>
            </w:pPr>
            <w:r>
              <w:rPr>
                <w:sz w:val="24"/>
              </w:rPr>
              <w:t>28547,1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29 688,9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12 365,3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1000000">
            <w:pPr>
              <w:rPr>
                <w:sz w:val="24"/>
              </w:rPr>
            </w:pPr>
            <w:r>
              <w:rPr>
                <w:sz w:val="24"/>
              </w:rPr>
              <w:t>14 085,4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2000000">
            <w:pPr>
              <w:rPr>
                <w:sz w:val="24"/>
              </w:rPr>
            </w:pPr>
            <w:r>
              <w:rPr>
                <w:sz w:val="24"/>
              </w:rPr>
              <w:t>9 762,8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3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00000">
            <w:r>
              <w:rPr>
                <w:sz w:val="24"/>
              </w:rPr>
              <w:t>8 860,7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00000">
            <w:r>
              <w:rPr>
                <w:sz w:val="24"/>
              </w:rPr>
              <w:t>8 860,7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DB000000"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rPr>
                <w:sz w:val="24"/>
              </w:rPr>
            </w:pPr>
            <w:r>
              <w:rPr>
                <w:sz w:val="24"/>
              </w:rPr>
              <w:t>8 860,7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rPr>
                <w:sz w:val="24"/>
              </w:rPr>
            </w:pPr>
            <w:r>
              <w:rPr>
                <w:sz w:val="24"/>
              </w:rPr>
              <w:t>27 015,0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rPr>
                <w:sz w:val="24"/>
              </w:rPr>
            </w:pPr>
            <w:r>
              <w:rPr>
                <w:sz w:val="24"/>
              </w:rPr>
              <w:t>28 387,7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rPr>
                <w:sz w:val="24"/>
              </w:rPr>
            </w:pPr>
            <w:r>
              <w:rPr>
                <w:sz w:val="24"/>
              </w:rPr>
              <w:t>29 668,6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rPr>
                <w:sz w:val="24"/>
              </w:rPr>
            </w:pPr>
            <w:r>
              <w:rPr>
                <w:sz w:val="24"/>
              </w:rPr>
              <w:t>28 917,5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29719,8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rPr>
                <w:sz w:val="24"/>
              </w:rPr>
            </w:pPr>
            <w:r>
              <w:rPr>
                <w:sz w:val="24"/>
              </w:rPr>
              <w:t>30554,1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rPr>
                <w:sz w:val="24"/>
              </w:rPr>
            </w:pPr>
            <w:r>
              <w:rPr>
                <w:sz w:val="24"/>
              </w:rPr>
              <w:t>31421,9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rPr>
                <w:sz w:val="24"/>
              </w:rPr>
            </w:pPr>
            <w:r>
              <w:rPr>
                <w:sz w:val="24"/>
              </w:rPr>
              <w:t>32324,3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rPr>
                <w:sz w:val="24"/>
              </w:rPr>
            </w:pPr>
            <w:r>
              <w:rPr>
                <w:sz w:val="24"/>
              </w:rPr>
              <w:t>33 262,9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8000000">
            <w:pPr>
              <w:rPr>
                <w:sz w:val="24"/>
              </w:rPr>
            </w:pPr>
            <w:r>
              <w:rPr>
                <w:sz w:val="24"/>
              </w:rPr>
              <w:t>34239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rPr>
                <w:sz w:val="24"/>
              </w:rPr>
            </w:pPr>
            <w:r>
              <w:rPr>
                <w:sz w:val="24"/>
              </w:rPr>
              <w:t>35254,1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EA000000">
            <w:pPr>
              <w:rPr>
                <w:sz w:val="24"/>
              </w:rPr>
            </w:pPr>
            <w:r>
              <w:rPr>
                <w:sz w:val="24"/>
              </w:rPr>
              <w:t>36309,8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rPr>
                <w:sz w:val="24"/>
              </w:rPr>
            </w:pPr>
            <w:r>
              <w:rPr>
                <w:sz w:val="24"/>
              </w:rPr>
              <w:t>37407,8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00000">
            <w:pPr>
              <w:rPr>
                <w:sz w:val="24"/>
              </w:rPr>
            </w:pPr>
            <w:r>
              <w:rPr>
                <w:sz w:val="24"/>
              </w:rPr>
              <w:t>38549,6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28877,4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27070</w:t>
            </w:r>
            <w:r>
              <w:rPr>
                <w:sz w:val="24"/>
              </w:rPr>
              <w:t>,0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28987,8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29822,1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30689,9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31592,3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530,9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7000000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33507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34522,1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F9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35577,8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A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36675,8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37817,6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Дефицит/профицит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 дефицита бюджета, в том числе: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1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долг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24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977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29010000">
      <w:pPr>
        <w:widowControl w:val="0"/>
        <w:ind/>
        <w:rPr>
          <w:b w:val="1"/>
          <w:sz w:val="24"/>
        </w:rPr>
      </w:pPr>
      <w:r>
        <w:rPr>
          <w:b w:val="1"/>
          <w:sz w:val="24"/>
        </w:rPr>
        <w:t>-</w:t>
      </w:r>
    </w:p>
    <w:p w14:paraId="2A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>* В расходах бюджета поселения выделены расходы за исключением условно утвержденных расходов на плановый период 2024 – 2036 годов в соответствии с методикой расчета, предусмотренной приказом министерства финансов Ростовской области от 15.06.2016 № 49 «О порядке взаимодействия структурных подразделений министерства финансов Ростовской области при подготовке бюджетного прогноза Ростовской области на долгосрочный период», на 2024 год условно утвержденные расходы составляют 2,5 процента от общего</w:t>
      </w:r>
      <w:r>
        <w:rPr>
          <w:sz w:val="24"/>
        </w:rPr>
        <w:t xml:space="preserve"> объема расходов за исключением расходов, предусмотренных за счет целевых средств из федерального бюджета, на 2025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14:paraId="2B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C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2D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946"/>
        <w:gridCol w:w="847"/>
        <w:gridCol w:w="848"/>
        <w:gridCol w:w="987"/>
        <w:gridCol w:w="847"/>
        <w:gridCol w:w="848"/>
        <w:gridCol w:w="987"/>
        <w:gridCol w:w="987"/>
        <w:gridCol w:w="988"/>
        <w:gridCol w:w="847"/>
        <w:gridCol w:w="987"/>
        <w:gridCol w:w="988"/>
        <w:gridCol w:w="987"/>
        <w:gridCol w:w="847"/>
        <w:gridCol w:w="890"/>
      </w:tblGrid>
      <w:tr>
        <w:trPr>
          <w:trHeight w:hRule="atLeast" w:val="176"/>
          <w:tblHeader/>
        </w:trPr>
        <w:tc>
          <w:tcPr>
            <w:tcW w:type="dxa" w:w="15831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Расходы на финансовое обеспечение реализации муниципальных программ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  <w:r>
              <w:rPr>
                <w:sz w:val="24"/>
                <w:vertAlign w:val="superscript"/>
              </w:rPr>
              <w:t>1</w:t>
            </w:r>
          </w:p>
        </w:tc>
      </w:tr>
      <w:tr>
        <w:trPr>
          <w:trHeight w:hRule="atLeast" w:val="214"/>
          <w:tblHeader/>
        </w:trPr>
        <w:tc>
          <w:tcPr>
            <w:tcW w:type="dxa" w:w="29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pStyle w:val="Style_6"/>
              <w:ind w:firstLine="58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</w:t>
            </w:r>
          </w:p>
        </w:tc>
        <w:tc>
          <w:tcPr>
            <w:tcW w:type="dxa" w:w="12885"/>
            <w:gridSpan w:val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pStyle w:val="Style_6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Год периода прогнозирования</w:t>
            </w:r>
          </w:p>
        </w:tc>
      </w:tr>
      <w:tr>
        <w:trPr>
          <w:trHeight w:hRule="atLeast" w:val="483"/>
          <w:tblHeader/>
        </w:trPr>
        <w:tc>
          <w:tcPr>
            <w:tcW w:type="dxa" w:w="29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2032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2033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pStyle w:val="Style_6"/>
              <w:ind w:firstLine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3F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культуры и туризма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13 056,4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14 143,1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2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14 703,6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13 050,8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10224,8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10 224,8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 xml:space="preserve"> Развитие физической культуры и спорта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ind/>
              <w:jc w:val="center"/>
            </w:pPr>
            <w:r>
              <w:rPr>
                <w:spacing w:val="-20"/>
              </w:rPr>
              <w:t>50,0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93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 xml:space="preserve"> Обеспечение качественными жилищно-коммунальными услугами населения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2 781,4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2 648,9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</w:t>
            </w:r>
            <w:r>
              <w:rPr>
                <w:rFonts w:ascii="Times New Roman" w:hAnsi="Times New Roman"/>
                <w:spacing w:val="-20"/>
              </w:rPr>
              <w:t> 786,8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1 188,6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ind/>
              <w:jc w:val="center"/>
            </w:pPr>
            <w:r>
              <w:rPr>
                <w:spacing w:val="-20"/>
              </w:rPr>
              <w:t>1 531,4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4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Охрана окружающей среды и рациональное природопользование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31,1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46,7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46,7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0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ind/>
              <w:jc w:val="center"/>
            </w:pPr>
            <w:r>
              <w:rPr>
                <w:spacing w:val="-20"/>
              </w:rPr>
              <w:t>26,4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474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ind/>
              <w:jc w:val="center"/>
            </w:pPr>
            <w:r>
              <w:rPr>
                <w:spacing w:val="-20"/>
              </w:rPr>
              <w:t>2,0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ind/>
              <w:jc w:val="center"/>
            </w:pPr>
            <w:r>
              <w:rPr>
                <w:spacing w:val="-20"/>
              </w:rPr>
              <w:t>2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ind/>
              <w:jc w:val="center"/>
            </w:pPr>
            <w:r>
              <w:rPr>
                <w:spacing w:val="-20"/>
              </w:rPr>
              <w:t>7,0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Информационное общество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181,5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ind/>
              <w:jc w:val="center"/>
            </w:pPr>
            <w:r>
              <w:rPr>
                <w:spacing w:val="-20"/>
              </w:rPr>
              <w:t>197,7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ind/>
              <w:jc w:val="center"/>
            </w:pPr>
            <w:r>
              <w:rPr>
                <w:spacing w:val="-20"/>
              </w:rPr>
              <w:t>181,5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10000">
            <w:pPr>
              <w:ind/>
              <w:jc w:val="center"/>
            </w:pPr>
            <w:r>
              <w:rPr>
                <w:spacing w:val="-20"/>
              </w:rPr>
              <w:t>150,0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31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99010000">
            <w:pPr>
              <w:rPr>
                <w:sz w:val="22"/>
              </w:rPr>
            </w:pPr>
            <w:r>
              <w:rPr>
                <w:sz w:val="22"/>
              </w:rPr>
              <w:t>Энергоэффективность</w:t>
            </w:r>
            <w:r>
              <w:rPr>
                <w:sz w:val="22"/>
              </w:rPr>
              <w:t xml:space="preserve"> и развитие энергетики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10000">
            <w:pPr>
              <w:ind/>
              <w:jc w:val="center"/>
            </w:pPr>
            <w:r>
              <w:rPr>
                <w:spacing w:val="-20"/>
              </w:rPr>
              <w:t>10,0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10000">
            <w:pPr>
              <w:ind/>
              <w:jc w:val="center"/>
            </w:pPr>
            <w:r>
              <w:rPr>
                <w:spacing w:val="-20"/>
              </w:rPr>
              <w:t>1</w:t>
            </w:r>
            <w:r>
              <w:rPr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E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10000">
            <w:pPr>
              <w:ind/>
              <w:jc w:val="center"/>
            </w:pPr>
            <w:r>
              <w:rPr>
                <w:spacing w:val="-20"/>
              </w:rPr>
              <w:t>30,0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8010000">
            <w:pPr>
              <w:rPr>
                <w:sz w:val="22"/>
              </w:rPr>
            </w:pPr>
            <w:r>
              <w:rPr>
                <w:sz w:val="22"/>
              </w:rPr>
              <w:t>Доступная среда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  <w:r>
              <w:rPr>
                <w:spacing w:val="-20"/>
              </w:rPr>
              <w:t>,</w:t>
            </w:r>
            <w:r>
              <w:rPr>
                <w:spacing w:val="-20"/>
              </w:rPr>
              <w:t>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10000">
            <w:pPr>
              <w:ind/>
              <w:jc w:val="center"/>
              <w:rPr>
                <w:spacing w:val="-20"/>
              </w:rPr>
            </w:pPr>
            <w:r>
              <w:rPr>
                <w:spacing w:val="-20"/>
              </w:rPr>
              <w:t>20,0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</w:p>
        </w:tc>
      </w:tr>
      <w:tr>
        <w:trPr>
          <w:trHeight w:hRule="atLeast" w:val="1096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B7010000">
            <w:pPr>
              <w:rPr>
                <w:sz w:val="22"/>
              </w:rPr>
            </w:pPr>
            <w:r>
              <w:rPr>
                <w:sz w:val="22"/>
              </w:rPr>
              <w:t xml:space="preserve"> 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70,0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10000">
            <w:pPr>
              <w:ind/>
              <w:jc w:val="center"/>
            </w:pPr>
            <w:r>
              <w:rPr>
                <w:spacing w:val="-20"/>
              </w:rPr>
              <w:t>109,2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10000">
            <w:pPr>
              <w:ind/>
              <w:jc w:val="center"/>
            </w:pPr>
            <w:r>
              <w:rPr>
                <w:spacing w:val="-20"/>
              </w:rPr>
              <w:t>70,0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4</w:t>
            </w: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10000">
            <w:pPr>
              <w:ind/>
              <w:jc w:val="center"/>
            </w:pPr>
            <w:r>
              <w:rPr>
                <w:spacing w:val="-20"/>
              </w:rPr>
              <w:t>65,0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10000">
            <w:pPr>
              <w:ind/>
              <w:jc w:val="center"/>
            </w:pPr>
            <w:r>
              <w:rPr>
                <w:spacing w:val="-20"/>
              </w:rPr>
              <w:t>65,0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65,0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10000">
            <w:pPr>
              <w:ind/>
              <w:jc w:val="center"/>
            </w:pPr>
            <w:r>
              <w:rPr>
                <w:spacing w:val="-20"/>
              </w:rPr>
              <w:t>100,0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67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Муниципальная политика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9 940,0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10 193,6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11 166,0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10 780,1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ind/>
              <w:jc w:val="center"/>
            </w:pPr>
            <w:r>
              <w:rPr>
                <w:spacing w:val="-20"/>
              </w:rPr>
              <w:t>6872,0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780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10000">
            <w:pPr>
              <w:pStyle w:val="Style_6"/>
              <w:ind w:firstLine="58"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2"/>
              </w:rPr>
              <w:t>Кринично-Лугского</w:t>
            </w:r>
            <w:r>
              <w:rPr>
                <w:rFonts w:ascii="Times New Roman" w:hAnsi="Times New Roman"/>
                <w:sz w:val="22"/>
              </w:rPr>
              <w:t xml:space="preserve"> сельского поселения 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0,0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50,0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0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10000">
            <w:pPr>
              <w:ind/>
              <w:jc w:val="center"/>
            </w:pPr>
            <w:r>
              <w:t>Х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10000">
            <w:pPr>
              <w:ind/>
              <w:jc w:val="center"/>
            </w:pPr>
            <w:r>
              <w:t>Х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F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10000">
            <w:pPr>
              <w:widowControl w:val="0"/>
              <w:ind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-</w:t>
            </w:r>
          </w:p>
        </w:tc>
      </w:tr>
      <w:tr>
        <w:trPr>
          <w:trHeight w:hRule="atLeast" w:val="158"/>
        </w:trPr>
        <w:tc>
          <w:tcPr>
            <w:tcW w:type="dxa" w:w="2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10000">
            <w:pPr>
              <w:pStyle w:val="Style_6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Итого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26 087,4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</w:t>
            </w:r>
            <w:r>
              <w:rPr>
                <w:rFonts w:ascii="Times New Roman" w:hAnsi="Times New Roman"/>
                <w:spacing w:val="-20"/>
              </w:rPr>
              <w:t>7 416,2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</w:t>
            </w:r>
            <w:r>
              <w:rPr>
                <w:rFonts w:ascii="Times New Roman" w:hAnsi="Times New Roman"/>
                <w:spacing w:val="-20"/>
              </w:rPr>
              <w:t>7 981,6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8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25 086,5</w:t>
            </w:r>
          </w:p>
        </w:tc>
        <w:tc>
          <w:tcPr>
            <w:tcW w:type="dxa" w:w="8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18916,6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10000">
            <w:r>
              <w:rPr>
                <w:spacing w:val="-20"/>
              </w:rPr>
              <w:t>18916,6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10000">
            <w:r>
              <w:rPr>
                <w:spacing w:val="-20"/>
              </w:rPr>
              <w:t>18916,6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10000">
            <w:pPr>
              <w:pStyle w:val="Style_6"/>
              <w:ind w:firstLine="0" w:left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18951,6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  <w:tc>
          <w:tcPr>
            <w:tcW w:type="dxa" w:w="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10000">
            <w:pPr>
              <w:pStyle w:val="Style_6"/>
              <w:ind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-</w:t>
            </w:r>
          </w:p>
        </w:tc>
      </w:tr>
    </w:tbl>
    <w:p w14:paraId="F3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F4010000">
      <w:pPr>
        <w:tabs>
          <w:tab w:leader="none" w:pos="0" w:val="left"/>
        </w:tabs>
        <w:spacing w:line="252" w:lineRule="auto"/>
        <w:ind w:firstLine="709" w:left="0"/>
        <w:jc w:val="both"/>
        <w:rPr>
          <w:sz w:val="24"/>
        </w:rPr>
      </w:pPr>
    </w:p>
    <w:p w14:paraId="F5010000">
      <w:pPr>
        <w:widowControl w:val="0"/>
        <w:ind/>
        <w:jc w:val="center"/>
        <w:rPr>
          <w:sz w:val="28"/>
        </w:rPr>
      </w:pPr>
    </w:p>
    <w:p w14:paraId="F6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2.1. Показатели финансового обеспечения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F7010000">
      <w:pPr>
        <w:widowControl w:val="0"/>
        <w:tabs>
          <w:tab w:leader="none" w:pos="12750" w:val="left"/>
        </w:tabs>
        <w:ind/>
        <w:rPr>
          <w:sz w:val="24"/>
        </w:rPr>
      </w:pPr>
      <w:r>
        <w:rPr>
          <w:sz w:val="24"/>
        </w:rPr>
        <w:tab/>
      </w:r>
      <w:r>
        <w:rPr>
          <w:sz w:val="24"/>
        </w:rPr>
        <w:t>(</w:t>
      </w:r>
      <w:r>
        <w:rPr>
          <w:sz w:val="24"/>
        </w:rPr>
        <w:t>тыс</w:t>
      </w:r>
      <w:r>
        <w:rPr>
          <w:sz w:val="24"/>
        </w:rPr>
        <w:t>.р</w:t>
      </w:r>
      <w:r>
        <w:rPr>
          <w:sz w:val="24"/>
        </w:rPr>
        <w:t>уб</w:t>
      </w:r>
      <w:r>
        <w:rPr>
          <w:sz w:val="24"/>
        </w:rPr>
        <w:t>.)</w:t>
      </w:r>
    </w:p>
    <w:p w14:paraId="F8010000"/>
    <w:p w14:paraId="F9010000">
      <w:pPr>
        <w:tabs>
          <w:tab w:leader="none" w:pos="0" w:val="left"/>
        </w:tabs>
        <w:ind/>
        <w:jc w:val="both"/>
        <w:rPr>
          <w:sz w:val="24"/>
        </w:rPr>
      </w:pPr>
      <w:r>
        <w:tab/>
      </w:r>
      <w:r>
        <w:rPr>
          <w:sz w:val="24"/>
          <w:vertAlign w:val="superscript"/>
        </w:rPr>
        <w:t>1</w:t>
      </w:r>
      <w:r>
        <w:rPr>
          <w:sz w:val="24"/>
        </w:rPr>
        <w:t> Плановые бюджетные ассигнования, предусмотренные за счет средств областного бюджета и безвозмездных поступлений в бюджет поселения.</w:t>
      </w:r>
    </w:p>
    <w:p w14:paraId="FA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2</w:t>
      </w:r>
      <w:r>
        <w:rPr>
          <w:sz w:val="24"/>
        </w:rPr>
        <w:t xml:space="preserve"> Объем бюджетных ассигнований соответствует решению Собрания депутатов от 23.12.2022 № 62 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2023 год и на плановый период 2024 и 2025 годов» по состоянию на 1 января 2023 г.</w:t>
      </w:r>
    </w:p>
    <w:p w14:paraId="FB010000">
      <w:pPr>
        <w:tabs>
          <w:tab w:leader="none" w:pos="1575" w:val="left"/>
        </w:tabs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3</w:t>
      </w:r>
      <w:r>
        <w:rPr>
          <w:sz w:val="24"/>
        </w:rPr>
        <w:t xml:space="preserve"> </w:t>
      </w:r>
      <w:r>
        <w:rPr>
          <w:sz w:val="24"/>
        </w:rPr>
        <w:t>Объем бюджетных ассигнований соответствует решению Собрания депутатов от 2</w:t>
      </w:r>
      <w:r>
        <w:rPr>
          <w:sz w:val="24"/>
        </w:rPr>
        <w:t>2</w:t>
      </w:r>
      <w:r>
        <w:rPr>
          <w:sz w:val="24"/>
        </w:rPr>
        <w:t>.12.202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98</w:t>
      </w:r>
      <w:r>
        <w:rPr>
          <w:sz w:val="24"/>
        </w:rPr>
        <w:t xml:space="preserve"> «О бюджете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на 202</w:t>
      </w:r>
      <w:r>
        <w:rPr>
          <w:sz w:val="24"/>
        </w:rPr>
        <w:t>4</w:t>
      </w:r>
      <w:r>
        <w:rPr>
          <w:sz w:val="24"/>
        </w:rPr>
        <w:t xml:space="preserve"> год и на плановый период 202</w:t>
      </w:r>
      <w:r>
        <w:rPr>
          <w:sz w:val="24"/>
        </w:rPr>
        <w:t>5</w:t>
      </w:r>
      <w:r>
        <w:rPr>
          <w:sz w:val="24"/>
        </w:rPr>
        <w:t xml:space="preserve"> и 202</w:t>
      </w:r>
      <w:r>
        <w:rPr>
          <w:sz w:val="24"/>
        </w:rPr>
        <w:t>6</w:t>
      </w:r>
      <w:r>
        <w:rPr>
          <w:sz w:val="24"/>
        </w:rPr>
        <w:t xml:space="preserve"> годов» по состоянию на 1 января 202</w:t>
      </w:r>
      <w:r>
        <w:rPr>
          <w:sz w:val="24"/>
        </w:rPr>
        <w:t>4</w:t>
      </w:r>
      <w:r>
        <w:rPr>
          <w:sz w:val="24"/>
        </w:rPr>
        <w:t xml:space="preserve"> г.</w:t>
      </w:r>
    </w:p>
    <w:p w14:paraId="FC010000">
      <w:pPr>
        <w:ind w:firstLine="709" w:left="0"/>
        <w:jc w:val="both"/>
        <w:rPr>
          <w:sz w:val="24"/>
        </w:rPr>
      </w:pPr>
      <w:r>
        <w:rPr>
          <w:sz w:val="24"/>
          <w:vertAlign w:val="superscript"/>
        </w:rPr>
        <w:t>4</w:t>
      </w:r>
      <w:r>
        <w:rPr>
          <w:sz w:val="24"/>
        </w:rPr>
        <w:t> </w:t>
      </w:r>
      <w:r>
        <w:rPr>
          <w:sz w:val="24"/>
        </w:rPr>
        <w:t xml:space="preserve">Объем бюджетных ассигнований соответствует постановлениям Правительства Администрации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об утверждении муниципальных программ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по состоянию на 1 января 2024 г.</w:t>
      </w:r>
      <w:r>
        <w:rPr>
          <w:sz w:val="24"/>
        </w:rPr>
        <w:t xml:space="preserve"> </w:t>
      </w:r>
    </w:p>
    <w:p w14:paraId="FD010000">
      <w:pPr>
        <w:ind w:firstLine="709" w:left="0"/>
        <w:jc w:val="both"/>
        <w:rPr>
          <w:sz w:val="24"/>
        </w:rPr>
      </w:pPr>
    </w:p>
    <w:p w14:paraId="FE010000">
      <w:pPr>
        <w:ind w:firstLine="709" w:left="0"/>
        <w:jc w:val="both"/>
        <w:rPr>
          <w:sz w:val="24"/>
        </w:rPr>
      </w:pPr>
      <w:r>
        <w:rPr>
          <w:sz w:val="24"/>
        </w:rPr>
        <w:t>Примечание.</w:t>
      </w:r>
    </w:p>
    <w:p w14:paraId="FF01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Муниципальная программа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 «Формирование современной городской среды на территории </w:t>
      </w:r>
      <w:r>
        <w:rPr>
          <w:sz w:val="24"/>
        </w:rPr>
        <w:t>Кринично-Лугского</w:t>
      </w:r>
      <w:r>
        <w:rPr>
          <w:sz w:val="24"/>
        </w:rPr>
        <w:t xml:space="preserve"> сельского поселения» реализуется с 2018 по 2025 год.</w:t>
      </w:r>
    </w:p>
    <w:p w14:paraId="00020000">
      <w:pPr>
        <w:ind w:firstLine="709" w:left="0"/>
        <w:rPr>
          <w:sz w:val="28"/>
        </w:rPr>
      </w:pPr>
      <w:r>
        <w:rPr>
          <w:sz w:val="24"/>
        </w:rPr>
        <w:t>Х – не подлежит заполнению</w:t>
      </w:r>
    </w:p>
    <w:p w14:paraId="01020000">
      <w:pPr>
        <w:sectPr>
          <w:footerReference r:id="rId2" w:type="default"/>
          <w:pgSz w:h="11907" w:orient="landscape" w:w="16840"/>
          <w:pgMar w:bottom="851" w:footer="720" w:gutter="0" w:header="720" w:left="851" w:right="851" w:top="1418"/>
        </w:sectPr>
      </w:pPr>
    </w:p>
    <w:p w14:paraId="02020000">
      <w:pPr>
        <w:widowControl w:val="0"/>
        <w:numPr>
          <w:ilvl w:val="1"/>
          <w:numId w:val="2"/>
        </w:numPr>
        <w:tabs>
          <w:tab w:leader="none" w:pos="0" w:val="left"/>
          <w:tab w:leader="none" w:pos="2700" w:val="clear"/>
        </w:tabs>
        <w:ind w:firstLine="851" w:left="0"/>
        <w:jc w:val="center"/>
        <w:rPr>
          <w:sz w:val="28"/>
        </w:rPr>
      </w:pPr>
      <w:r>
        <w:rPr>
          <w:sz w:val="28"/>
        </w:rPr>
        <w:t xml:space="preserve">Основные подходы к формированию бюджетной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2023-2036 годов</w:t>
      </w:r>
    </w:p>
    <w:p w14:paraId="03020000">
      <w:pPr>
        <w:ind w:firstLine="709" w:left="0"/>
        <w:jc w:val="both"/>
        <w:rPr>
          <w:sz w:val="28"/>
        </w:rPr>
      </w:pPr>
    </w:p>
    <w:p w14:paraId="04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05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Расчет прогнозных показателей дефицита (профицита), источников его финансирования и муниципального долга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06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прогнозируемом периоде будет продолжена долговая </w:t>
      </w:r>
      <w:r>
        <w:rPr>
          <w:sz w:val="28"/>
        </w:rPr>
        <w:t>политика на отсутствие</w:t>
      </w:r>
      <w:r>
        <w:rPr>
          <w:sz w:val="28"/>
        </w:rPr>
        <w:t xml:space="preserve"> муниципального долга.</w:t>
      </w:r>
    </w:p>
    <w:p w14:paraId="07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Бюджетная </w:t>
      </w:r>
      <w:r>
        <w:rPr>
          <w:sz w:val="28"/>
        </w:rPr>
        <w:t>политика на</w:t>
      </w:r>
      <w:r>
        <w:rPr>
          <w:sz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поселения при одновременном обеспечении устойчивости и сбалансированности бюджетной системы.</w:t>
      </w:r>
    </w:p>
    <w:p w14:paraId="08020000">
      <w:pPr>
        <w:ind w:firstLine="700" w:left="0"/>
        <w:jc w:val="both"/>
        <w:rPr>
          <w:sz w:val="28"/>
        </w:rPr>
      </w:pPr>
    </w:p>
    <w:p w14:paraId="09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подходы в части </w:t>
      </w:r>
    </w:p>
    <w:p w14:paraId="0A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собственных (налоговых и неналоговых) доходов</w:t>
      </w:r>
    </w:p>
    <w:p w14:paraId="0B020000">
      <w:pPr>
        <w:ind w:firstLine="709" w:left="0"/>
        <w:jc w:val="both"/>
        <w:rPr>
          <w:sz w:val="28"/>
        </w:rPr>
      </w:pPr>
    </w:p>
    <w:p w14:paraId="0C02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0D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налоговые и неналоговые доходы бюджета </w:t>
      </w:r>
      <w:r>
        <w:rPr>
          <w:sz w:val="28"/>
        </w:rPr>
        <w:t>поселения к 2036 году увеличатся в 2 раза к уровню 2023 года</w:t>
      </w:r>
      <w:r>
        <w:rPr>
          <w:sz w:val="28"/>
        </w:rPr>
        <w:t>.</w:t>
      </w:r>
    </w:p>
    <w:p w14:paraId="0E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Прогнозирование на долгосрочную перспективу осуществлялось в условиях позитивных тенденций, сложившихся в предыдущие годы, с учетом роста индекса промышленного производства, валового регионального </w:t>
      </w:r>
      <w:r>
        <w:rPr>
          <w:spacing w:val="-2"/>
          <w:sz w:val="28"/>
        </w:rPr>
        <w:t xml:space="preserve">продукта, </w:t>
      </w:r>
      <w:r>
        <w:rPr>
          <w:sz w:val="28"/>
        </w:rPr>
        <w:t>прибыли прибыльных предприятий, фонда среднемесячной номинальной начисленной заработной платы.</w:t>
      </w:r>
    </w:p>
    <w:p w14:paraId="0F020000">
      <w:pPr>
        <w:ind w:firstLine="709" w:left="0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Налоговые и неналоговые доходы бюджета сельского поселения 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 – экономического развития </w:t>
      </w:r>
      <w:r>
        <w:rPr>
          <w:color w:themeColor="text1" w:val="000000"/>
          <w:sz w:val="28"/>
        </w:rPr>
        <w:t>Кринично-Лугского</w:t>
      </w:r>
      <w:r>
        <w:rPr>
          <w:color w:themeColor="text1" w:val="000000"/>
          <w:sz w:val="28"/>
        </w:rPr>
        <w:t xml:space="preserve"> сельского поселения на период до 2036 года. </w:t>
      </w:r>
    </w:p>
    <w:p w14:paraId="10020000">
      <w:pPr>
        <w:ind w:firstLine="709" w:left="0"/>
        <w:jc w:val="both"/>
        <w:rPr>
          <w:color w:themeColor="text1" w:val="000000"/>
        </w:rPr>
      </w:pPr>
      <w:r>
        <w:rPr>
          <w:color w:themeColor="text1" w:val="000000"/>
          <w:sz w:val="28"/>
        </w:rPr>
        <w:t>При прогнозировании собственных налоговых и неналоговых доходов учтены тенденции, сложившиеся в предыдущие годы.</w:t>
      </w:r>
    </w:p>
    <w:p w14:paraId="11020000">
      <w:pPr>
        <w:widowControl w:val="0"/>
        <w:spacing w:line="228" w:lineRule="auto"/>
        <w:ind/>
        <w:jc w:val="center"/>
        <w:rPr>
          <w:sz w:val="28"/>
        </w:rPr>
      </w:pPr>
    </w:p>
    <w:p w14:paraId="12020000">
      <w:pPr>
        <w:widowControl w:val="0"/>
        <w:spacing w:line="228" w:lineRule="auto"/>
        <w:ind/>
        <w:jc w:val="center"/>
        <w:rPr>
          <w:sz w:val="28"/>
        </w:rPr>
      </w:pPr>
      <w:r>
        <w:rPr>
          <w:sz w:val="28"/>
        </w:rPr>
        <w:t>Основные подходы в части региональной финансовой помощи</w:t>
      </w:r>
    </w:p>
    <w:p w14:paraId="13020000">
      <w:pPr>
        <w:widowControl w:val="0"/>
        <w:spacing w:line="228" w:lineRule="auto"/>
        <w:ind/>
        <w:jc w:val="both"/>
        <w:rPr>
          <w:sz w:val="28"/>
        </w:rPr>
      </w:pPr>
    </w:p>
    <w:p w14:paraId="1402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Проводимая на региональном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самоуправления. </w:t>
      </w:r>
    </w:p>
    <w:p w14:paraId="15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поселения напрямую зависит от роста поступлений налоговых и неналоговых доходов. </w:t>
      </w:r>
    </w:p>
    <w:p w14:paraId="16020000">
      <w:pPr>
        <w:widowControl w:val="0"/>
        <w:tabs>
          <w:tab w:leader="none" w:pos="3261" w:val="left"/>
        </w:tabs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Начиная с 2027 года в расчете безвозмездных поступлений </w:t>
      </w:r>
      <w:r>
        <w:rPr>
          <w:sz w:val="28"/>
        </w:rPr>
        <w:t>использовались данные по объему дотации на выравнивание бюджетной обеспеченности на 2026 год</w:t>
      </w:r>
      <w:r>
        <w:rPr>
          <w:sz w:val="28"/>
        </w:rPr>
        <w:t xml:space="preserve"> в соответствии с </w:t>
      </w:r>
      <w:r>
        <w:rPr>
          <w:sz w:val="28"/>
        </w:rPr>
        <w:t>принятым решением Собрания депутатов о бюджете поселения на 202</w:t>
      </w:r>
      <w:r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от 2</w:t>
      </w:r>
      <w:r>
        <w:rPr>
          <w:sz w:val="28"/>
        </w:rPr>
        <w:t>2</w:t>
      </w:r>
      <w:r>
        <w:rPr>
          <w:sz w:val="28"/>
        </w:rPr>
        <w:t>.12.202</w:t>
      </w:r>
      <w:r>
        <w:rPr>
          <w:sz w:val="28"/>
        </w:rPr>
        <w:t>3</w:t>
      </w:r>
      <w:r>
        <w:rPr>
          <w:sz w:val="28"/>
        </w:rPr>
        <w:t xml:space="preserve"> № </w:t>
      </w:r>
      <w:r>
        <w:rPr>
          <w:sz w:val="28"/>
        </w:rPr>
        <w:t>98</w:t>
      </w:r>
      <w:r>
        <w:rPr>
          <w:sz w:val="28"/>
        </w:rPr>
        <w:t xml:space="preserve"> в </w:t>
      </w:r>
      <w:r>
        <w:rPr>
          <w:sz w:val="28"/>
        </w:rPr>
        <w:t>объеме</w:t>
      </w:r>
      <w:r>
        <w:rPr>
          <w:sz w:val="28"/>
        </w:rPr>
        <w:t xml:space="preserve"> утвержденном на 202</w:t>
      </w:r>
      <w:r>
        <w:rPr>
          <w:sz w:val="28"/>
        </w:rPr>
        <w:t>6</w:t>
      </w:r>
      <w:r>
        <w:rPr>
          <w:sz w:val="28"/>
        </w:rPr>
        <w:t xml:space="preserve"> год. </w:t>
      </w:r>
    </w:p>
    <w:p w14:paraId="17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8020000">
      <w:pPr>
        <w:pStyle w:val="Style_6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подходы в части расходов</w:t>
      </w:r>
    </w:p>
    <w:p w14:paraId="19020000">
      <w:pPr>
        <w:tabs>
          <w:tab w:leader="none" w:pos="0" w:val="left"/>
        </w:tabs>
        <w:ind w:firstLine="709" w:left="0"/>
        <w:jc w:val="both"/>
        <w:rPr>
          <w:sz w:val="28"/>
        </w:rPr>
      </w:pPr>
    </w:p>
    <w:p w14:paraId="1A02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период 2023-2036 годов рассчитаны с учетом прогноза поступлений доходов.</w:t>
      </w:r>
    </w:p>
    <w:p w14:paraId="1B020000">
      <w:pPr>
        <w:ind w:firstLine="709" w:left="0"/>
        <w:jc w:val="both"/>
        <w:rPr>
          <w:sz w:val="28"/>
        </w:rPr>
      </w:pPr>
      <w:r>
        <w:rPr>
          <w:sz w:val="28"/>
        </w:rPr>
        <w:t>На 202</w:t>
      </w:r>
      <w:r>
        <w:rPr>
          <w:sz w:val="28"/>
        </w:rPr>
        <w:t>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годы учтены условно утвержденные расходы  в объеме 2,5 процента и 5,0 процентов от общего объема расходов бюджета сельского поселения, за исключением расходов, предусмотренных за счет целевых  средств из областного бюджета, с 202</w:t>
      </w:r>
      <w:r>
        <w:rPr>
          <w:sz w:val="28"/>
        </w:rPr>
        <w:t>7</w:t>
      </w:r>
      <w:r>
        <w:rPr>
          <w:sz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14:paraId="1C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 от 11.12.2020 № 244 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бюджет поселения составляется на основе муниципальных программ. </w:t>
      </w:r>
    </w:p>
    <w:p w14:paraId="1D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</w:t>
      </w:r>
      <w:r>
        <w:rPr>
          <w:sz w:val="28"/>
        </w:rPr>
        <w:t xml:space="preserve">муниципальных </w:t>
      </w:r>
      <w:r>
        <w:rPr>
          <w:sz w:val="28"/>
        </w:rPr>
        <w:t xml:space="preserve">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 xml:space="preserve">на 2024 – 2026 годы соответствуют значениям, утвержденным </w:t>
      </w:r>
      <w:r>
        <w:rPr>
          <w:sz w:val="28"/>
        </w:rPr>
        <w:t xml:space="preserve">решением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бюджете от 22</w:t>
      </w:r>
      <w:r>
        <w:rPr>
          <w:sz w:val="28"/>
        </w:rPr>
        <w:t>.12.2023 № </w:t>
      </w:r>
      <w:r>
        <w:rPr>
          <w:sz w:val="28"/>
        </w:rPr>
        <w:t>98</w:t>
      </w:r>
      <w:r>
        <w:rPr>
          <w:sz w:val="28"/>
        </w:rPr>
        <w:t>.</w:t>
      </w:r>
    </w:p>
    <w:p w14:paraId="1E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Доля расходов бюджета поселения, формируемых в рамках муниципальных программ поселения, ежегодно планируется более 90 процентов в общем объеме расходов местного бюджета.</w:t>
      </w:r>
    </w:p>
    <w:p w14:paraId="1F02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Основной объем сре</w:t>
      </w:r>
      <w:r>
        <w:rPr>
          <w:sz w:val="28"/>
        </w:rPr>
        <w:t>дств ск</w:t>
      </w:r>
      <w:r>
        <w:rPr>
          <w:sz w:val="28"/>
        </w:rPr>
        <w:t xml:space="preserve">онцентрирован на реализации муниципальных программ поселения, предусматривающих расходы на развитие культуры и спорта, социальную поддержку бывших муниципальных служащих. </w:t>
      </w:r>
    </w:p>
    <w:p w14:paraId="20020000">
      <w:pPr>
        <w:ind w:firstLine="709" w:left="0"/>
        <w:jc w:val="both"/>
        <w:rPr>
          <w:sz w:val="28"/>
        </w:rPr>
      </w:pPr>
    </w:p>
    <w:p w14:paraId="21020000">
      <w:pPr>
        <w:ind/>
        <w:jc w:val="center"/>
        <w:rPr>
          <w:sz w:val="28"/>
        </w:rPr>
      </w:pPr>
    </w:p>
    <w:p w14:paraId="22020000">
      <w:pPr>
        <w:ind/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14:paraId="23020000">
      <w:pPr>
        <w:ind/>
        <w:jc w:val="both"/>
        <w:rPr>
          <w:sz w:val="28"/>
        </w:rPr>
      </w:pPr>
    </w:p>
    <w:p w14:paraId="24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Основной целью долговой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период до 2036 года будет являться отсутствие муниципального долга и минимизация расходов на его обслуживание.</w:t>
      </w:r>
    </w:p>
    <w:p w14:paraId="25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На период 2023–2036 годов бюджет поселения планируется к принятию </w:t>
      </w:r>
      <w:r>
        <w:rPr>
          <w:sz w:val="28"/>
        </w:rPr>
        <w:t>сбалансированным</w:t>
      </w:r>
      <w:r>
        <w:rPr>
          <w:sz w:val="28"/>
        </w:rPr>
        <w:t>.</w:t>
      </w:r>
    </w:p>
    <w:p w14:paraId="2602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Муниципальная долговая политика будет направлена на сохранение отсутствия муниципального долга, при этом должна быть обеспечена способность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осуществлять заимствования в объемах, необходимых для решения поставленных социально-экономических задач, на комфортных для нее условиях.</w:t>
      </w:r>
    </w:p>
    <w:p w14:paraId="27020000">
      <w:pPr>
        <w:rPr>
          <w:sz w:val="28"/>
        </w:rPr>
      </w:pPr>
    </w:p>
    <w:p w14:paraId="28020000">
      <w:pPr>
        <w:ind w:firstLine="709" w:left="0"/>
        <w:jc w:val="both"/>
        <w:rPr>
          <w:sz w:val="28"/>
        </w:rPr>
      </w:pPr>
    </w:p>
    <w:sectPr>
      <w:footerReference r:id="rId3" w:type="default"/>
      <w:pgSz w:h="16840" w:orient="portrait" w:w="11907"/>
      <w:pgMar w:bottom="709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8"/>
      </w:pPr>
    </w:lvl>
    <w:lvl w:ilvl="1">
      <w:start w:val="1"/>
      <w:numFmt w:val="lowerLetter"/>
      <w:lvlText w:val="%2."/>
      <w:lvlJc w:val="left"/>
      <w:pPr>
        <w:ind w:hanging="360" w:left="1648"/>
      </w:pPr>
    </w:lvl>
    <w:lvl w:ilvl="2">
      <w:start w:val="1"/>
      <w:numFmt w:val="lowerRoman"/>
      <w:lvlText w:val="%3."/>
      <w:lvlJc w:val="right"/>
      <w:pPr>
        <w:ind w:hanging="180" w:left="2368"/>
      </w:pPr>
    </w:lvl>
    <w:lvl w:ilvl="3">
      <w:start w:val="1"/>
      <w:numFmt w:val="decimal"/>
      <w:lvlText w:val="%4."/>
      <w:lvlJc w:val="left"/>
      <w:pPr>
        <w:ind w:hanging="360" w:left="3088"/>
      </w:pPr>
    </w:lvl>
    <w:lvl w:ilvl="4">
      <w:start w:val="1"/>
      <w:numFmt w:val="lowerLetter"/>
      <w:lvlText w:val="%5."/>
      <w:lvlJc w:val="left"/>
      <w:pPr>
        <w:ind w:hanging="360" w:left="3808"/>
      </w:pPr>
    </w:lvl>
    <w:lvl w:ilvl="5">
      <w:start w:val="1"/>
      <w:numFmt w:val="lowerRoman"/>
      <w:lvlText w:val="%6."/>
      <w:lvlJc w:val="right"/>
      <w:pPr>
        <w:ind w:hanging="180" w:left="4528"/>
      </w:pPr>
    </w:lvl>
    <w:lvl w:ilvl="6">
      <w:start w:val="1"/>
      <w:numFmt w:val="decimal"/>
      <w:lvlText w:val="%7."/>
      <w:lvlJc w:val="left"/>
      <w:pPr>
        <w:ind w:hanging="360" w:left="5248"/>
      </w:pPr>
    </w:lvl>
    <w:lvl w:ilvl="7">
      <w:start w:val="1"/>
      <w:numFmt w:val="lowerLetter"/>
      <w:lvlText w:val="%8."/>
      <w:lvlJc w:val="left"/>
      <w:pPr>
        <w:ind w:hanging="360" w:left="5968"/>
      </w:pPr>
    </w:lvl>
    <w:lvl w:ilvl="8">
      <w:start w:val="1"/>
      <w:numFmt w:val="lowerRoman"/>
      <w:lvlText w:val="%9."/>
      <w:lvlJc w:val="right"/>
      <w:pPr>
        <w:ind w:hanging="180" w:left="6688"/>
      </w:p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435" w:val="left"/>
        </w:tabs>
        <w:ind w:hanging="435" w:left="435"/>
      </w:pPr>
    </w:lvl>
    <w:lvl w:ilvl="1">
      <w:start w:val="2"/>
      <w:numFmt w:val="decimal"/>
      <w:lvlText w:val="%1.%2."/>
      <w:lvlJc w:val="left"/>
      <w:pPr>
        <w:tabs>
          <w:tab w:leader="none" w:pos="2700" w:val="left"/>
        </w:tabs>
        <w:ind w:hanging="720" w:left="2700"/>
      </w:pPr>
    </w:lvl>
    <w:lvl w:ilvl="2">
      <w:start w:val="1"/>
      <w:numFmt w:val="decimal"/>
      <w:lvlText w:val="%1.%2.%3."/>
      <w:lvlJc w:val="left"/>
      <w:pPr>
        <w:tabs>
          <w:tab w:leader="none" w:pos="4680" w:val="left"/>
        </w:tabs>
        <w:ind w:hanging="720" w:left="4680"/>
      </w:pPr>
    </w:lvl>
    <w:lvl w:ilvl="3">
      <w:start w:val="1"/>
      <w:numFmt w:val="decimal"/>
      <w:lvlText w:val="%1.%2.%3.%4."/>
      <w:lvlJc w:val="left"/>
      <w:pPr>
        <w:tabs>
          <w:tab w:leader="none" w:pos="7020" w:val="left"/>
        </w:tabs>
        <w:ind w:hanging="1080" w:left="7020"/>
      </w:pPr>
    </w:lvl>
    <w:lvl w:ilvl="4">
      <w:start w:val="1"/>
      <w:numFmt w:val="decimal"/>
      <w:lvlText w:val="%1.%2.%3.%4.%5."/>
      <w:lvlJc w:val="left"/>
      <w:pPr>
        <w:tabs>
          <w:tab w:leader="none" w:pos="9000" w:val="left"/>
        </w:tabs>
        <w:ind w:hanging="1080" w:left="9000"/>
      </w:pPr>
    </w:lvl>
    <w:lvl w:ilvl="5">
      <w:start w:val="1"/>
      <w:numFmt w:val="decimal"/>
      <w:lvlText w:val="%1.%2.%3.%4.%5.%6."/>
      <w:lvlJc w:val="left"/>
      <w:pPr>
        <w:tabs>
          <w:tab w:leader="none" w:pos="11340" w:val="left"/>
        </w:tabs>
        <w:ind w:hanging="1440" w:left="11340"/>
      </w:pPr>
    </w:lvl>
    <w:lvl w:ilvl="6">
      <w:start w:val="1"/>
      <w:numFmt w:val="decimal"/>
      <w:lvlText w:val="%1.%2.%3.%4.%5.%6.%7."/>
      <w:lvlJc w:val="left"/>
      <w:pPr>
        <w:tabs>
          <w:tab w:leader="none" w:pos="13680" w:val="left"/>
        </w:tabs>
        <w:ind w:hanging="1800" w:left="13680"/>
      </w:pPr>
    </w:lvl>
    <w:lvl w:ilvl="7">
      <w:start w:val="1"/>
      <w:numFmt w:val="decimal"/>
      <w:lvlText w:val="%1.%2.%3.%4.%5.%6.%7.%8."/>
      <w:lvlJc w:val="left"/>
      <w:pPr>
        <w:tabs>
          <w:tab w:leader="none" w:pos="15660" w:val="left"/>
        </w:tabs>
        <w:ind w:hanging="1800" w:left="15660"/>
      </w:pPr>
    </w:lvl>
    <w:lvl w:ilvl="8">
      <w:start w:val="1"/>
      <w:numFmt w:val="decimal"/>
      <w:lvlText w:val="%1.%2.%3.%4.%5.%6.%7.%8.%9."/>
      <w:lvlJc w:val="left"/>
      <w:pPr>
        <w:tabs>
          <w:tab w:leader="none" w:pos="18000" w:val="left"/>
        </w:tabs>
        <w:ind w:hanging="2160" w:left="180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0"/>
    </w:rPr>
  </w:style>
  <w:style w:default="1" w:styleId="Style_7_ch" w:type="character">
    <w:name w:val="Normal"/>
    <w:link w:val="Style_7"/>
    <w:rPr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er"/>
    <w:basedOn w:val="Style_7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7_ch"/>
    <w:link w:val="Style_12"/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ostan"/>
    <w:basedOn w:val="Style_7"/>
    <w:link w:val="Style_14_ch"/>
    <w:pPr>
      <w:ind/>
      <w:jc w:val="center"/>
    </w:pPr>
    <w:rPr>
      <w:sz w:val="28"/>
    </w:rPr>
  </w:style>
  <w:style w:styleId="Style_14_ch" w:type="character">
    <w:name w:val="Postan"/>
    <w:basedOn w:val="Style_7_ch"/>
    <w:link w:val="Style_14"/>
    <w:rPr>
      <w:sz w:val="28"/>
    </w:rPr>
  </w:style>
  <w:style w:styleId="Style_15" w:type="paragraph">
    <w:name w:val="Balloon Text"/>
    <w:basedOn w:val="Style_7"/>
    <w:link w:val="Style_15_ch"/>
    <w:rPr>
      <w:rFonts w:ascii="Tahoma" w:hAnsi="Tahoma"/>
      <w:sz w:val="16"/>
    </w:rPr>
  </w:style>
  <w:style w:styleId="Style_15_ch" w:type="character">
    <w:name w:val="Balloon Text"/>
    <w:basedOn w:val="Style_7_ch"/>
    <w:link w:val="Style_15"/>
    <w:rPr>
      <w:rFonts w:ascii="Tahoma" w:hAnsi="Tahoma"/>
      <w:sz w:val="16"/>
    </w:rPr>
  </w:style>
  <w:style w:styleId="Style_16" w:type="paragraph">
    <w:name w:val="Обычный1"/>
    <w:link w:val="Style_16_ch"/>
    <w:rPr>
      <w:sz w:val="20"/>
    </w:rPr>
  </w:style>
  <w:style w:styleId="Style_16_ch" w:type="character">
    <w:name w:val="Обычный1"/>
    <w:link w:val="Style_16"/>
    <w:rPr>
      <w:sz w:val="20"/>
    </w:rPr>
  </w:style>
  <w:style w:styleId="Style_17" w:type="paragraph">
    <w:name w:val="toc 3"/>
    <w:next w:val="Style_7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" w:type="paragraph">
    <w:name w:val="Номер страницы1"/>
    <w:basedOn w:val="Style_7"/>
    <w:link w:val="Style_1_ch"/>
    <w:rPr>
      <w:sz w:val="22"/>
    </w:rPr>
  </w:style>
  <w:style w:styleId="Style_1_ch" w:type="character">
    <w:name w:val="Номер страницы1"/>
    <w:basedOn w:val="Style_7_ch"/>
    <w:link w:val="Style_1"/>
    <w:rPr>
      <w:sz w:val="22"/>
    </w:rPr>
  </w:style>
  <w:style w:styleId="Style_19" w:type="paragraph">
    <w:name w:val="Body Text"/>
    <w:basedOn w:val="Style_7"/>
    <w:link w:val="Style_19_ch"/>
  </w:style>
  <w:style w:styleId="Style_19_ch" w:type="character">
    <w:name w:val="Body Text"/>
    <w:basedOn w:val="Style_7_ch"/>
    <w:link w:val="Style_19"/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basedOn w:val="Style_7"/>
    <w:next w:val="Style_7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7_ch"/>
    <w:link w:val="Style_21"/>
    <w:rPr>
      <w:rFonts w:ascii="AG Souvenir" w:hAnsi="AG Souvenir"/>
      <w:b w:val="1"/>
      <w:spacing w:val="38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  <w:sz w:val="20"/>
    </w:rPr>
  </w:style>
  <w:style w:styleId="Style_6_ch" w:type="character">
    <w:name w:val="ConsPlusNormal"/>
    <w:link w:val="Style_6"/>
    <w:rPr>
      <w:rFonts w:ascii="Arial" w:hAnsi="Arial"/>
      <w:sz w:val="20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7"/>
    <w:link w:val="Style_26_ch"/>
    <w:uiPriority w:val="39"/>
    <w:pPr>
      <w:ind w:firstLine="0" w:left="1600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3" w:type="paragraph">
    <w:name w:val="Normal (Web)"/>
    <w:basedOn w:val="Style_7"/>
    <w:link w:val="Style_3_ch"/>
    <w:pPr>
      <w:spacing w:afterAutospacing="on" w:beforeAutospacing="on"/>
      <w:ind/>
    </w:pPr>
    <w:rPr>
      <w:sz w:val="24"/>
    </w:rPr>
  </w:style>
  <w:style w:styleId="Style_3_ch" w:type="character">
    <w:name w:val="Normal (Web)"/>
    <w:basedOn w:val="Style_7_ch"/>
    <w:link w:val="Style_3"/>
    <w:rPr>
      <w:sz w:val="24"/>
    </w:rPr>
  </w:style>
  <w:style w:styleId="Style_27" w:type="paragraph">
    <w:name w:val="toc 8"/>
    <w:next w:val="Style_7"/>
    <w:link w:val="Style_27_ch"/>
    <w:uiPriority w:val="39"/>
    <w:pPr>
      <w:ind w:firstLine="0" w:left="1400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Гиперссылка1"/>
    <w:basedOn w:val="Style_29"/>
    <w:link w:val="Style_28_ch"/>
    <w:rPr>
      <w:color w:val="0000FF"/>
      <w:u w:val="single"/>
    </w:rPr>
  </w:style>
  <w:style w:styleId="Style_28_ch" w:type="character">
    <w:name w:val="Гиперссылка1"/>
    <w:basedOn w:val="Style_29_ch"/>
    <w:link w:val="Style_28"/>
    <w:rPr>
      <w:color w:val="0000FF"/>
      <w:u w:val="single"/>
    </w:rPr>
  </w:style>
  <w:style w:styleId="Style_30" w:type="paragraph">
    <w:name w:val="Body Text Indent"/>
    <w:basedOn w:val="Style_7"/>
    <w:link w:val="Style_30_ch"/>
    <w:pPr>
      <w:ind w:firstLine="709" w:left="0"/>
      <w:jc w:val="both"/>
    </w:pPr>
  </w:style>
  <w:style w:styleId="Style_30_ch" w:type="character">
    <w:name w:val="Body Text Indent"/>
    <w:basedOn w:val="Style_7_ch"/>
    <w:link w:val="Style_30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29" w:type="paragraph">
    <w:name w:val="Основной шрифт абзаца1"/>
    <w:link w:val="Style_29_ch"/>
  </w:style>
  <w:style w:styleId="Style_29_ch" w:type="character">
    <w:name w:val="Основной шрифт абзаца1"/>
    <w:link w:val="Style_29"/>
  </w:style>
  <w:style w:styleId="Style_32" w:type="paragraph">
    <w:name w:val="ConsTitle"/>
    <w:link w:val="Style_32_ch"/>
    <w:pPr>
      <w:widowControl w:val="0"/>
      <w:ind w:right="19772"/>
    </w:pPr>
    <w:rPr>
      <w:rFonts w:ascii="Arial" w:hAnsi="Arial"/>
      <w:b w:val="1"/>
      <w:sz w:val="16"/>
    </w:rPr>
  </w:style>
  <w:style w:styleId="Style_32_ch" w:type="character">
    <w:name w:val="ConsTitle"/>
    <w:link w:val="Style_32"/>
    <w:rPr>
      <w:rFonts w:ascii="Arial" w:hAnsi="Arial"/>
      <w:b w:val="1"/>
      <w:sz w:val="16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33" w:type="paragraph">
    <w:name w:val="Subtitle"/>
    <w:next w:val="Style_7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next w:val="Style_7"/>
    <w:link w:val="Style_3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4_ch" w:type="character">
    <w:name w:val="Title"/>
    <w:link w:val="Style_34"/>
    <w:rPr>
      <w:rFonts w:ascii="XO Thames" w:hAnsi="XO Thames"/>
      <w:b w:val="1"/>
      <w:caps w:val="1"/>
      <w:sz w:val="40"/>
    </w:rPr>
  </w:style>
  <w:style w:styleId="Style_35" w:type="paragraph">
    <w:name w:val="heading 4"/>
    <w:next w:val="Style_7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basedOn w:val="Style_7"/>
    <w:next w:val="Style_7"/>
    <w:link w:val="Style_3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36_ch" w:type="character">
    <w:name w:val="heading 2"/>
    <w:basedOn w:val="Style_7_ch"/>
    <w:link w:val="Style_36"/>
    <w:rPr>
      <w:rFonts w:ascii="Cambria" w:hAnsi="Cambria"/>
      <w:b w:val="1"/>
      <w:i w:val="1"/>
      <w:sz w:val="28"/>
    </w:rPr>
  </w:style>
  <w:style w:styleId="Style_37" w:type="table">
    <w:name w:val="Table Grid"/>
    <w:basedOn w:val="Style_5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2024-02-27T13:45:17Z</dcterms:modified>
</cp:coreProperties>
</file>