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9000000">
      <w:pPr>
        <w:ind/>
        <w:jc w:val="center"/>
        <w:rPr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 xml:space="preserve">ПОСТАНОВЛЕНИЕ </w:t>
      </w:r>
      <w:r>
        <w:rPr>
          <w:sz w:val="28"/>
        </w:rPr>
        <w:t xml:space="preserve">                               </w:t>
      </w:r>
    </w:p>
    <w:p w14:paraId="0D000000">
      <w:pPr>
        <w:tabs>
          <w:tab w:leader="none" w:pos="6949" w:val="left"/>
        </w:tabs>
        <w:ind/>
        <w:rPr>
          <w:sz w:val="28"/>
        </w:rPr>
      </w:pPr>
    </w:p>
    <w:p w14:paraId="0E000000">
      <w:pPr>
        <w:tabs>
          <w:tab w:leader="none" w:pos="6949" w:val="left"/>
        </w:tabs>
        <w:ind/>
        <w:rPr>
          <w:sz w:val="28"/>
        </w:rPr>
      </w:pPr>
      <w:r>
        <w:rPr>
          <w:sz w:val="28"/>
        </w:rPr>
        <w:t>17.02</w:t>
      </w:r>
      <w:r>
        <w:rPr>
          <w:sz w:val="28"/>
        </w:rPr>
        <w:t xml:space="preserve">.2023                              </w:t>
      </w:r>
      <w:r>
        <w:rPr>
          <w:sz w:val="28"/>
        </w:rPr>
        <w:t>х</w:t>
      </w:r>
      <w:r>
        <w:rPr>
          <w:sz w:val="28"/>
        </w:rPr>
        <w:t>.К</w:t>
      </w:r>
      <w:r>
        <w:rPr>
          <w:sz w:val="28"/>
        </w:rPr>
        <w:t>ринично-Лугский</w:t>
      </w:r>
      <w:r>
        <w:rPr>
          <w:sz w:val="28"/>
        </w:rPr>
        <w:t xml:space="preserve">                                    № 28</w:t>
      </w:r>
      <w:r>
        <w:rPr>
          <w:sz w:val="28"/>
        </w:rPr>
        <w:t xml:space="preserve">                      </w:t>
      </w:r>
    </w:p>
    <w:p w14:paraId="0F000000">
      <w:pPr>
        <w:ind/>
        <w:jc w:val="center"/>
        <w:rPr>
          <w:b w:val="1"/>
          <w:spacing w:val="30"/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О внесении изменений в постановление Администрации от 20.09.2022 № 99 «</w:t>
      </w:r>
      <w:r>
        <w:rPr>
          <w:sz w:val="28"/>
        </w:rPr>
        <w:t>Об утверждении б</w:t>
      </w:r>
      <w:r>
        <w:rPr>
          <w:sz w:val="28"/>
        </w:rPr>
        <w:t>юджетн</w:t>
      </w:r>
      <w:r>
        <w:rPr>
          <w:sz w:val="28"/>
        </w:rPr>
        <w:t xml:space="preserve">ого </w:t>
      </w:r>
      <w:r>
        <w:rPr>
          <w:sz w:val="28"/>
        </w:rPr>
        <w:t>прогноз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период 20</w:t>
      </w:r>
      <w:r>
        <w:rPr>
          <w:sz w:val="28"/>
        </w:rPr>
        <w:t>23</w:t>
      </w:r>
      <w:r>
        <w:rPr>
          <w:sz w:val="28"/>
        </w:rPr>
        <w:t>-203</w:t>
      </w:r>
      <w:r>
        <w:rPr>
          <w:sz w:val="28"/>
        </w:rPr>
        <w:t>6</w:t>
      </w:r>
      <w:r>
        <w:rPr>
          <w:sz w:val="28"/>
        </w:rPr>
        <w:t xml:space="preserve"> годов</w:t>
      </w:r>
      <w:r>
        <w:rPr>
          <w:sz w:val="28"/>
        </w:rPr>
        <w:t>»</w:t>
      </w:r>
    </w:p>
    <w:p w14:paraId="11000000">
      <w:pPr>
        <w:ind w:firstLine="709" w:left="0"/>
        <w:jc w:val="both"/>
        <w:rPr>
          <w:b w:val="1"/>
          <w:sz w:val="28"/>
        </w:rPr>
      </w:pPr>
    </w:p>
    <w:p w14:paraId="12000000">
      <w:pPr>
        <w:ind w:firstLine="851" w:left="0" w:right="-2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В соответствии </w:t>
      </w:r>
      <w:r>
        <w:rPr>
          <w:spacing w:val="-2"/>
          <w:sz w:val="28"/>
        </w:rPr>
        <w:t xml:space="preserve">с </w:t>
      </w:r>
      <w:r>
        <w:rPr>
          <w:spacing w:val="-2"/>
          <w:sz w:val="28"/>
        </w:rPr>
        <w:t>постановлением Правительства Ростовской области от 29.08.2022 № 724 «Об утверждении бюджетного прогноза Ростовской обла</w:t>
      </w:r>
      <w:r>
        <w:rPr>
          <w:spacing w:val="-2"/>
          <w:sz w:val="28"/>
        </w:rPr>
        <w:t>с</w:t>
      </w:r>
      <w:r>
        <w:rPr>
          <w:spacing w:val="-2"/>
          <w:sz w:val="28"/>
        </w:rPr>
        <w:t>ти на период 2023-2036 годов»</w:t>
      </w:r>
      <w:r>
        <w:rPr>
          <w:spacing w:val="-2"/>
          <w:sz w:val="28"/>
        </w:rPr>
        <w:t xml:space="preserve"> (в редакции 13.02.2023 № 67</w:t>
      </w:r>
      <w:r>
        <w:rPr>
          <w:spacing w:val="-2"/>
          <w:sz w:val="28"/>
        </w:rPr>
        <w:t>)</w:t>
      </w:r>
      <w:r>
        <w:rPr>
          <w:spacing w:val="-2"/>
          <w:sz w:val="28"/>
        </w:rPr>
        <w:t>П</w:t>
      </w:r>
      <w:r>
        <w:rPr>
          <w:spacing w:val="-2"/>
          <w:sz w:val="28"/>
        </w:rPr>
        <w:t>ОСТАНОВЛЯЮ:</w:t>
      </w:r>
    </w:p>
    <w:p w14:paraId="13000000">
      <w:pPr>
        <w:ind w:firstLine="709" w:left="0"/>
        <w:jc w:val="center"/>
        <w:rPr>
          <w:b w:val="1"/>
          <w:spacing w:val="-2"/>
          <w:sz w:val="28"/>
        </w:rPr>
      </w:pPr>
    </w:p>
    <w:p w14:paraId="14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внести изменения в постановление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20.09.2022 № 99 «Об у</w:t>
      </w:r>
      <w:r>
        <w:rPr>
          <w:sz w:val="28"/>
        </w:rPr>
        <w:t>твер</w:t>
      </w:r>
      <w:r>
        <w:rPr>
          <w:sz w:val="28"/>
        </w:rPr>
        <w:t>ждении бюд</w:t>
      </w:r>
      <w:r>
        <w:rPr>
          <w:sz w:val="28"/>
        </w:rPr>
        <w:t>жетн</w:t>
      </w:r>
      <w:r>
        <w:rPr>
          <w:sz w:val="28"/>
        </w:rPr>
        <w:t xml:space="preserve">ого </w:t>
      </w:r>
      <w:r>
        <w:rPr>
          <w:sz w:val="28"/>
        </w:rPr>
        <w:t>прогноз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период 20</w:t>
      </w:r>
      <w:r>
        <w:rPr>
          <w:sz w:val="28"/>
        </w:rPr>
        <w:t>23</w:t>
      </w:r>
      <w:r>
        <w:rPr>
          <w:sz w:val="28"/>
        </w:rPr>
        <w:t>-203</w:t>
      </w:r>
      <w:r>
        <w:rPr>
          <w:sz w:val="28"/>
        </w:rPr>
        <w:t>6</w:t>
      </w:r>
      <w:r>
        <w:rPr>
          <w:sz w:val="28"/>
        </w:rPr>
        <w:t xml:space="preserve"> годов</w:t>
      </w:r>
      <w:r>
        <w:rPr>
          <w:sz w:val="28"/>
        </w:rPr>
        <w:t xml:space="preserve">» </w:t>
      </w:r>
      <w:r>
        <w:rPr>
          <w:sz w:val="28"/>
        </w:rPr>
        <w:t>изменение, изложив приложение к нему в редакции согласно приложению к настоящему постановлению</w:t>
      </w:r>
      <w:r>
        <w:rPr>
          <w:sz w:val="28"/>
        </w:rPr>
        <w:t>.</w:t>
      </w:r>
    </w:p>
    <w:p w14:paraId="15000000">
      <w:pPr>
        <w:ind w:firstLine="900" w:left="0"/>
        <w:jc w:val="both"/>
        <w:rPr>
          <w:color w:val="000000"/>
          <w:spacing w:val="-5"/>
          <w:sz w:val="28"/>
        </w:rPr>
      </w:pPr>
      <w:r>
        <w:rPr>
          <w:color w:val="000000"/>
          <w:sz w:val="28"/>
        </w:rPr>
        <w:t>2. О</w:t>
      </w:r>
      <w:r>
        <w:rPr>
          <w:color w:val="000000"/>
          <w:spacing w:val="-5"/>
          <w:sz w:val="28"/>
        </w:rPr>
        <w:t xml:space="preserve">публиковать настоящее постановление в информационном бюллетене </w:t>
      </w:r>
      <w:r>
        <w:rPr>
          <w:sz w:val="28"/>
        </w:rPr>
        <w:t>Кринично-Лугского</w:t>
      </w:r>
      <w:r>
        <w:rPr>
          <w:color w:val="000000"/>
          <w:spacing w:val="-5"/>
          <w:sz w:val="28"/>
        </w:rPr>
        <w:t xml:space="preserve"> сельского поселения и разместить на  официальном сайте Администрации </w:t>
      </w:r>
      <w:r>
        <w:rPr>
          <w:sz w:val="28"/>
        </w:rPr>
        <w:t>Кринично-Лугского</w:t>
      </w:r>
      <w:r>
        <w:rPr>
          <w:color w:val="000000"/>
          <w:spacing w:val="-5"/>
          <w:sz w:val="28"/>
        </w:rPr>
        <w:t xml:space="preserve"> сельского поселения в сети Интернет.</w:t>
      </w:r>
    </w:p>
    <w:p w14:paraId="16000000">
      <w:pPr>
        <w:pStyle w:val="Style_3"/>
        <w:spacing w:after="0" w:before="0"/>
        <w:ind w:firstLine="900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14:paraId="17000000">
      <w:pPr>
        <w:ind w:firstLine="900" w:left="0"/>
        <w:jc w:val="both"/>
        <w:rPr>
          <w:spacing w:val="-2"/>
          <w:sz w:val="28"/>
        </w:rPr>
      </w:pPr>
      <w:r>
        <w:rPr>
          <w:spacing w:val="-2"/>
          <w:sz w:val="28"/>
        </w:rPr>
        <w:t>4</w:t>
      </w:r>
      <w:r>
        <w:rPr>
          <w:spacing w:val="-2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2"/>
          <w:sz w:val="28"/>
        </w:rPr>
        <w:t xml:space="preserve"> выполнением</w:t>
      </w:r>
      <w:r>
        <w:rPr>
          <w:spacing w:val="-2"/>
          <w:sz w:val="28"/>
        </w:rPr>
        <w:t xml:space="preserve"> настоящего </w:t>
      </w:r>
      <w:r>
        <w:rPr>
          <w:spacing w:val="-2"/>
          <w:sz w:val="28"/>
        </w:rPr>
        <w:t xml:space="preserve">постановления возложить на </w:t>
      </w:r>
      <w:r>
        <w:rPr>
          <w:spacing w:val="-2"/>
          <w:sz w:val="28"/>
        </w:rPr>
        <w:t>заведующего</w:t>
      </w:r>
      <w:r>
        <w:rPr>
          <w:spacing w:val="-2"/>
          <w:sz w:val="28"/>
        </w:rPr>
        <w:t xml:space="preserve"> сектор</w:t>
      </w:r>
      <w:r>
        <w:rPr>
          <w:spacing w:val="-2"/>
          <w:sz w:val="28"/>
        </w:rPr>
        <w:t>ом</w:t>
      </w:r>
      <w:r>
        <w:rPr>
          <w:spacing w:val="-2"/>
          <w:sz w:val="28"/>
        </w:rPr>
        <w:t xml:space="preserve"> экономики и финансов </w:t>
      </w:r>
      <w:r>
        <w:rPr>
          <w:spacing w:val="-2"/>
          <w:sz w:val="28"/>
        </w:rPr>
        <w:t xml:space="preserve">Билую М.Н. </w:t>
      </w:r>
    </w:p>
    <w:p w14:paraId="18000000">
      <w:pPr>
        <w:ind/>
        <w:jc w:val="both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>ринично-Лугского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  Р.А. </w:t>
      </w:r>
      <w:r>
        <w:rPr>
          <w:sz w:val="28"/>
        </w:rPr>
        <w:t>Юнда</w:t>
      </w:r>
      <w:r>
        <w:rPr>
          <w:sz w:val="28"/>
        </w:rPr>
        <w:t xml:space="preserve"> </w:t>
      </w:r>
    </w:p>
    <w:p w14:paraId="1B000000">
      <w:pPr>
        <w:ind w:firstLine="709" w:left="0"/>
        <w:jc w:val="both"/>
        <w:rPr>
          <w:sz w:val="28"/>
        </w:rPr>
      </w:pPr>
    </w:p>
    <w:p w14:paraId="1C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Постановление вносит </w:t>
      </w:r>
    </w:p>
    <w:p w14:paraId="1D000000">
      <w:pPr>
        <w:widowControl w:val="0"/>
        <w:ind/>
        <w:jc w:val="both"/>
        <w:rPr>
          <w:sz w:val="24"/>
        </w:rPr>
      </w:pPr>
      <w:r>
        <w:rPr>
          <w:sz w:val="24"/>
        </w:rPr>
        <w:t>Сектор экономики и финансов</w:t>
      </w:r>
    </w:p>
    <w:p w14:paraId="1E000000">
      <w:pPr>
        <w:widowControl w:val="0"/>
        <w:ind/>
        <w:jc w:val="both"/>
        <w:rPr>
          <w:sz w:val="24"/>
        </w:rPr>
      </w:pPr>
    </w:p>
    <w:p w14:paraId="1F000000">
      <w:pPr>
        <w:widowControl w:val="0"/>
        <w:ind/>
        <w:jc w:val="both"/>
        <w:rPr>
          <w:sz w:val="24"/>
        </w:rPr>
      </w:pPr>
    </w:p>
    <w:p w14:paraId="20000000">
      <w:pPr>
        <w:widowControl w:val="0"/>
        <w:ind/>
        <w:jc w:val="both"/>
        <w:rPr>
          <w:sz w:val="24"/>
        </w:rPr>
      </w:pPr>
    </w:p>
    <w:p w14:paraId="21000000">
      <w:pPr>
        <w:widowControl w:val="0"/>
        <w:ind/>
        <w:jc w:val="both"/>
        <w:rPr>
          <w:sz w:val="24"/>
        </w:rPr>
      </w:pPr>
    </w:p>
    <w:p w14:paraId="22000000">
      <w:pPr>
        <w:widowControl w:val="0"/>
        <w:ind/>
        <w:jc w:val="both"/>
        <w:rPr>
          <w:sz w:val="24"/>
        </w:rPr>
      </w:pPr>
    </w:p>
    <w:p w14:paraId="23000000">
      <w:pPr>
        <w:widowControl w:val="0"/>
        <w:ind/>
        <w:jc w:val="both"/>
        <w:rPr>
          <w:sz w:val="24"/>
        </w:rPr>
      </w:pPr>
    </w:p>
    <w:p w14:paraId="24000000">
      <w:pPr>
        <w:widowControl w:val="0"/>
        <w:ind/>
        <w:jc w:val="both"/>
        <w:rPr>
          <w:sz w:val="24"/>
        </w:rPr>
      </w:pPr>
    </w:p>
    <w:p w14:paraId="25000000">
      <w:pPr>
        <w:widowControl w:val="0"/>
        <w:ind/>
        <w:jc w:val="both"/>
        <w:rPr>
          <w:sz w:val="24"/>
        </w:rPr>
      </w:pPr>
    </w:p>
    <w:p w14:paraId="26000000">
      <w:pPr>
        <w:widowControl w:val="0"/>
        <w:ind/>
        <w:jc w:val="both"/>
        <w:rPr>
          <w:sz w:val="24"/>
        </w:rPr>
      </w:pPr>
    </w:p>
    <w:p w14:paraId="27000000">
      <w:pPr>
        <w:widowControl w:val="0"/>
        <w:ind w:firstLine="0" w:left="4500"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28000000">
      <w:pPr>
        <w:widowControl w:val="0"/>
        <w:ind w:firstLine="0" w:left="2836"/>
        <w:jc w:val="right"/>
        <w:rPr>
          <w:sz w:val="24"/>
        </w:rPr>
      </w:pPr>
      <w:r>
        <w:rPr>
          <w:sz w:val="24"/>
        </w:rPr>
        <w:t xml:space="preserve">                           к постановлению Администрации</w:t>
      </w:r>
    </w:p>
    <w:p w14:paraId="29000000">
      <w:pPr>
        <w:widowControl w:val="0"/>
        <w:ind w:firstLine="0" w:left="3700"/>
        <w:jc w:val="right"/>
        <w:rPr>
          <w:sz w:val="24"/>
        </w:rPr>
      </w:pP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 </w:t>
      </w:r>
    </w:p>
    <w:p w14:paraId="2A000000">
      <w:pPr>
        <w:widowControl w:val="0"/>
        <w:ind w:firstLine="0" w:left="3700"/>
        <w:jc w:val="right"/>
        <w:rPr>
          <w:rFonts w:ascii="Times New Roman" w:hAnsi="Times New Roman"/>
          <w:b w:val="0"/>
          <w:sz w:val="24"/>
        </w:rPr>
      </w:pPr>
      <w:r>
        <w:rPr>
          <w:sz w:val="24"/>
        </w:rPr>
        <w:t>от 17.02</w:t>
      </w:r>
      <w:r>
        <w:rPr>
          <w:sz w:val="24"/>
        </w:rPr>
        <w:t>.2023  № 28</w:t>
      </w:r>
    </w:p>
    <w:p w14:paraId="2B000000">
      <w:pPr>
        <w:ind w:firstLine="0" w:left="6804"/>
        <w:jc w:val="center"/>
        <w:rPr>
          <w:sz w:val="28"/>
        </w:rPr>
      </w:pPr>
      <w:bookmarkStart w:id="1" w:name="Par50"/>
      <w:bookmarkEnd w:id="1"/>
    </w:p>
    <w:p w14:paraId="2C000000">
      <w:pPr>
        <w:widowControl w:val="0"/>
        <w:ind/>
        <w:jc w:val="center"/>
        <w:rPr>
          <w:sz w:val="28"/>
        </w:rPr>
      </w:pPr>
      <w:r>
        <w:rPr>
          <w:sz w:val="28"/>
        </w:rPr>
        <w:t>Б</w:t>
      </w:r>
      <w:r>
        <w:rPr>
          <w:sz w:val="28"/>
        </w:rPr>
        <w:t>ЮДЖЕТНЫЙ ПРОГНОЗ</w:t>
      </w:r>
    </w:p>
    <w:p w14:paraId="2D000000">
      <w:pPr>
        <w:widowControl w:val="0"/>
        <w:ind/>
        <w:jc w:val="center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период 20</w:t>
      </w:r>
      <w:r>
        <w:rPr>
          <w:sz w:val="28"/>
        </w:rPr>
        <w:t>23</w:t>
      </w:r>
      <w:r>
        <w:rPr>
          <w:sz w:val="28"/>
        </w:rPr>
        <w:t xml:space="preserve"> – 20</w:t>
      </w:r>
      <w:r>
        <w:rPr>
          <w:sz w:val="28"/>
        </w:rPr>
        <w:t>3</w:t>
      </w:r>
      <w:r>
        <w:rPr>
          <w:sz w:val="28"/>
        </w:rPr>
        <w:t>6</w:t>
      </w:r>
      <w:r>
        <w:rPr>
          <w:sz w:val="28"/>
        </w:rPr>
        <w:t xml:space="preserve"> годов</w:t>
      </w:r>
    </w:p>
    <w:p w14:paraId="2E000000">
      <w:pPr>
        <w:pStyle w:val="Style_4"/>
        <w:ind w:firstLine="142" w:left="0"/>
        <w:jc w:val="center"/>
        <w:rPr>
          <w:sz w:val="28"/>
        </w:rPr>
      </w:pPr>
    </w:p>
    <w:p w14:paraId="2F000000">
      <w:pPr>
        <w:spacing w:line="228" w:lineRule="auto"/>
        <w:ind/>
        <w:jc w:val="center"/>
        <w:rPr>
          <w:sz w:val="28"/>
        </w:rPr>
      </w:pPr>
      <w:r>
        <w:tab/>
      </w:r>
      <w:r>
        <w:rPr>
          <w:sz w:val="28"/>
        </w:rPr>
        <w:t>Общие положения</w:t>
      </w:r>
    </w:p>
    <w:p w14:paraId="30000000">
      <w:pPr>
        <w:spacing w:line="228" w:lineRule="auto"/>
        <w:ind/>
        <w:jc w:val="center"/>
        <w:rPr>
          <w:sz w:val="28"/>
        </w:rPr>
      </w:pPr>
    </w:p>
    <w:p w14:paraId="31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32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планирование». </w:t>
      </w:r>
    </w:p>
    <w:p w14:paraId="33000000">
      <w:pPr>
        <w:ind w:firstLine="700" w:left="0" w:right="-2"/>
        <w:jc w:val="both"/>
        <w:rPr>
          <w:sz w:val="28"/>
        </w:rPr>
      </w:pPr>
      <w:r>
        <w:rPr>
          <w:sz w:val="28"/>
        </w:rPr>
        <w:t xml:space="preserve">На региональном уровне принят Областной закон от 20.10.2015 № 416-ЗС «О стратегическом планировании в Ростовской области». Решение Собрания депутатов 11.12.2020 № 244 </w:t>
      </w:r>
      <w:r>
        <w:rPr>
          <w:sz w:val="28"/>
        </w:rPr>
        <w:t>«</w:t>
      </w:r>
      <w:r>
        <w:rPr>
          <w:sz w:val="28"/>
        </w:rPr>
        <w:t>Об утверждении Положения о бюджетном процессе в муниципальном образовании</w:t>
      </w:r>
      <w:r>
        <w:rPr>
          <w:sz w:val="28"/>
        </w:rPr>
        <w:t xml:space="preserve">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</w:t>
      </w:r>
      <w:r>
        <w:rPr>
          <w:sz w:val="28"/>
        </w:rPr>
        <w:t xml:space="preserve">» </w:t>
      </w:r>
      <w:r>
        <w:rPr>
          <w:sz w:val="28"/>
        </w:rPr>
        <w:t>дополнен</w:t>
      </w:r>
      <w:r>
        <w:rPr>
          <w:sz w:val="28"/>
        </w:rPr>
        <w:t>о</w:t>
      </w:r>
      <w:r>
        <w:rPr>
          <w:sz w:val="28"/>
        </w:rPr>
        <w:t xml:space="preserve"> статьей 19 «Долгосрочное бюджетное планирование». </w:t>
      </w:r>
    </w:p>
    <w:p w14:paraId="34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Правила разработки и утверждения бюджетного прогноза </w:t>
      </w:r>
      <w:r>
        <w:rPr>
          <w:sz w:val="28"/>
        </w:rPr>
        <w:t>Кринично-Лугско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>сельско</w:t>
      </w:r>
      <w:r>
        <w:rPr>
          <w:sz w:val="28"/>
        </w:rPr>
        <w:t xml:space="preserve">го </w:t>
      </w:r>
      <w:r>
        <w:rPr>
          <w:sz w:val="28"/>
        </w:rPr>
        <w:t>поселени</w:t>
      </w:r>
      <w:r>
        <w:rPr>
          <w:sz w:val="28"/>
        </w:rPr>
        <w:t xml:space="preserve">я </w:t>
      </w:r>
      <w:r>
        <w:rPr>
          <w:sz w:val="28"/>
        </w:rPr>
        <w:t xml:space="preserve">на долгосрочный период утверждены </w:t>
      </w:r>
      <w:r>
        <w:rPr>
          <w:sz w:val="28"/>
        </w:rPr>
        <w:t>постановлени</w:t>
      </w:r>
      <w:r>
        <w:rPr>
          <w:sz w:val="28"/>
        </w:rPr>
        <w:t xml:space="preserve">ем </w:t>
      </w:r>
      <w:r>
        <w:rPr>
          <w:sz w:val="28"/>
        </w:rPr>
        <w:t xml:space="preserve">Администрации </w:t>
      </w:r>
      <w:r>
        <w:rPr>
          <w:sz w:val="28"/>
        </w:rPr>
        <w:t>К</w:t>
      </w:r>
      <w:r>
        <w:rPr>
          <w:sz w:val="28"/>
        </w:rPr>
        <w:t>ринично-Лугского</w:t>
      </w:r>
      <w:r>
        <w:rPr>
          <w:sz w:val="28"/>
        </w:rPr>
        <w:t xml:space="preserve"> сельского поселения от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>0</w:t>
      </w:r>
      <w:r>
        <w:rPr>
          <w:sz w:val="28"/>
        </w:rPr>
        <w:t>.12.2015 №</w:t>
      </w:r>
      <w:r>
        <w:rPr>
          <w:sz w:val="28"/>
        </w:rPr>
        <w:t xml:space="preserve"> 257</w:t>
      </w:r>
      <w:r>
        <w:rPr>
          <w:sz w:val="28"/>
        </w:rPr>
        <w:t xml:space="preserve"> «Об утверждении Правил разработки и утверждения бюджетного прогноза </w:t>
      </w:r>
      <w:r>
        <w:rPr>
          <w:sz w:val="28"/>
        </w:rPr>
        <w:t>К</w:t>
      </w:r>
      <w:r>
        <w:rPr>
          <w:sz w:val="28"/>
        </w:rPr>
        <w:t>ринично-Лугско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>сельского поселения на долгосрочный</w:t>
      </w:r>
      <w:r>
        <w:rPr>
          <w:sz w:val="28"/>
        </w:rPr>
        <w:t xml:space="preserve"> период».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пунктом 3 статьи 170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бюджетный прогноз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на период 2023-2036 годов разработан </w:t>
      </w:r>
      <w:r>
        <w:rPr>
          <w:sz w:val="28"/>
        </w:rPr>
        <w:t xml:space="preserve">на основе долгосрочного прогноза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</w:t>
      </w:r>
      <w:r>
        <w:rPr>
          <w:spacing w:val="-2"/>
          <w:sz w:val="28"/>
        </w:rPr>
        <w:t>до 203</w:t>
      </w:r>
      <w:r>
        <w:rPr>
          <w:spacing w:val="-2"/>
          <w:sz w:val="28"/>
        </w:rPr>
        <w:t>6</w:t>
      </w:r>
      <w:r>
        <w:rPr>
          <w:spacing w:val="-2"/>
          <w:sz w:val="28"/>
        </w:rPr>
        <w:t xml:space="preserve"> года, </w:t>
      </w:r>
      <w:r>
        <w:rPr>
          <w:sz w:val="28"/>
        </w:rPr>
        <w:t xml:space="preserve">утвержденного постановлением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</w:t>
      </w:r>
      <w:r>
        <w:rPr>
          <w:sz w:val="28"/>
        </w:rPr>
        <w:t xml:space="preserve"> 25.11.2019</w:t>
      </w:r>
      <w:r>
        <w:rPr>
          <w:sz w:val="28"/>
        </w:rPr>
        <w:t xml:space="preserve"> № </w:t>
      </w:r>
      <w:r>
        <w:rPr>
          <w:sz w:val="28"/>
        </w:rPr>
        <w:t>101</w:t>
      </w:r>
      <w:r>
        <w:rPr>
          <w:sz w:val="28"/>
        </w:rPr>
        <w:t xml:space="preserve"> «О долгосрочном прогнозе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на период до 203</w:t>
      </w:r>
      <w:r>
        <w:rPr>
          <w:sz w:val="28"/>
        </w:rPr>
        <w:t>6</w:t>
      </w:r>
      <w:r>
        <w:rPr>
          <w:sz w:val="28"/>
        </w:rPr>
        <w:t xml:space="preserve"> года» </w:t>
      </w:r>
      <w:r>
        <w:rPr>
          <w:sz w:val="28"/>
        </w:rPr>
        <w:t>(далее – долгосрочный</w:t>
      </w:r>
      <w:r>
        <w:rPr>
          <w:sz w:val="28"/>
        </w:rPr>
        <w:t xml:space="preserve"> прогноз социально-экономического развития).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Бюджетный прогноз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2023-2036 годов (дале</w:t>
      </w:r>
      <w:r>
        <w:rPr>
          <w:sz w:val="28"/>
        </w:rPr>
        <w:t>е-</w:t>
      </w:r>
      <w:r>
        <w:rPr>
          <w:sz w:val="28"/>
        </w:rPr>
        <w:t xml:space="preserve"> бюджетный прогноз) </w:t>
      </w:r>
      <w:r>
        <w:rPr>
          <w:sz w:val="28"/>
        </w:rPr>
        <w:t xml:space="preserve">содержит информацию об основных параметрах </w:t>
      </w:r>
      <w:r>
        <w:rPr>
          <w:sz w:val="28"/>
        </w:rPr>
        <w:t xml:space="preserve">второго </w:t>
      </w:r>
      <w:r>
        <w:rPr>
          <w:sz w:val="28"/>
        </w:rPr>
        <w:t xml:space="preserve">варианта долгосрочного прогноза социально-экономического развития </w:t>
      </w:r>
      <w:r>
        <w:rPr>
          <w:sz w:val="28"/>
        </w:rPr>
        <w:t>Ростовской области</w:t>
      </w:r>
      <w:r>
        <w:rPr>
          <w:sz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а 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их действия соответствуют параметрам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 утвержденным решением Собрания депутатов о бюджете на очередной финансовый год и на плановый период.</w:t>
      </w:r>
    </w:p>
    <w:p w14:paraId="37000000">
      <w:pPr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На период 2023-2036 годов </w:t>
      </w:r>
      <w:r>
        <w:rPr>
          <w:sz w:val="28"/>
        </w:rPr>
        <w:t xml:space="preserve">показатели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доходам сформированы на основе прогноза поступлений налоговых и неналоговых доходов от главных администраторов доходов бюджета сельского поселения, а также прогноза безвозмездных поступлений. </w:t>
      </w:r>
      <w:r>
        <w:rPr>
          <w:color w:themeColor="text1" w:val="000000"/>
          <w:sz w:val="28"/>
        </w:rPr>
        <w:t xml:space="preserve">Ежегодно средний темп роста  налоговых и неналоговых доходов бюджета составит </w:t>
      </w:r>
      <w:r>
        <w:rPr>
          <w:color w:themeColor="text1" w:val="000000"/>
          <w:sz w:val="28"/>
        </w:rPr>
        <w:t>4,0</w:t>
      </w:r>
      <w:r>
        <w:rPr>
          <w:color w:themeColor="text1" w:val="000000"/>
          <w:sz w:val="28"/>
        </w:rPr>
        <w:t xml:space="preserve"> процента.</w:t>
      </w:r>
      <w:r>
        <w:rPr>
          <w:color w:themeColor="text1" w:val="000000"/>
          <w:sz w:val="28"/>
        </w:rPr>
        <w:t xml:space="preserve"> Объем безвозмез</w:t>
      </w:r>
      <w:r>
        <w:rPr>
          <w:color w:themeColor="text1" w:val="000000"/>
          <w:sz w:val="28"/>
        </w:rPr>
        <w:t xml:space="preserve">дных поступлений запланирован на уровне показателей 2023 года </w:t>
      </w:r>
      <w:r>
        <w:rPr>
          <w:color w:themeColor="text1" w:val="000000"/>
          <w:sz w:val="28"/>
        </w:rPr>
        <w:t>до 2036 года.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Показатели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расходам рассчитаны с учетом прогноза доходов.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период 2023-2036 годов прогнозируется сбалансированный бюджет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3A000000">
      <w:pPr>
        <w:ind w:firstLine="708" w:left="0"/>
        <w:jc w:val="both"/>
        <w:rPr>
          <w:sz w:val="28"/>
        </w:rPr>
      </w:pPr>
      <w:r>
        <w:rPr>
          <w:sz w:val="28"/>
        </w:rPr>
        <w:t>Бюджетным прогнозом предусмотрено отсутствие муниципального долга за период 2023-2036 годов.</w:t>
      </w:r>
    </w:p>
    <w:p w14:paraId="3B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Доходы и расходы бюджета поселения в целом прогнозируются к 2036 году с увеличением от уровня 2023 года в реальном выражении </w:t>
      </w:r>
      <w:r>
        <w:rPr>
          <w:sz w:val="28"/>
        </w:rPr>
        <w:t>в 1,5 раза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Параметры </w:t>
      </w:r>
      <w:r>
        <w:rPr>
          <w:sz w:val="28"/>
        </w:rPr>
        <w:t>бюджета</w:t>
      </w:r>
      <w:r>
        <w:rPr>
          <w:sz w:val="28"/>
        </w:rPr>
        <w:t xml:space="preserve"> поселения</w:t>
      </w:r>
      <w:r>
        <w:rPr>
          <w:sz w:val="28"/>
        </w:rPr>
        <w:t xml:space="preserve"> на период 2023–2025 годов  приведены в соответствие </w:t>
      </w:r>
      <w:r>
        <w:rPr>
          <w:sz w:val="28"/>
        </w:rPr>
        <w:t xml:space="preserve">с первоначально утвержденным </w:t>
      </w:r>
      <w:r>
        <w:rPr>
          <w:sz w:val="28"/>
        </w:rPr>
        <w:t xml:space="preserve">решением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</w:t>
      </w:r>
      <w:r>
        <w:rPr>
          <w:sz w:val="28"/>
        </w:rPr>
        <w:t xml:space="preserve">.12.2022 № </w:t>
      </w:r>
      <w:r>
        <w:rPr>
          <w:sz w:val="28"/>
        </w:rPr>
        <w:t>62</w:t>
      </w:r>
      <w:r>
        <w:rPr>
          <w:sz w:val="28"/>
        </w:rPr>
        <w:t xml:space="preserve"> </w:t>
      </w:r>
      <w:r>
        <w:rPr>
          <w:sz w:val="28"/>
        </w:rPr>
        <w:t xml:space="preserve">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</w:t>
      </w:r>
      <w:r>
        <w:rPr>
          <w:sz w:val="28"/>
        </w:rPr>
        <w:t>3</w:t>
      </w:r>
      <w:r>
        <w:rPr>
          <w:sz w:val="28"/>
        </w:rPr>
        <w:t xml:space="preserve"> год и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</w:t>
      </w:r>
      <w:r>
        <w:rPr>
          <w:sz w:val="28"/>
        </w:rPr>
        <w:t>.</w:t>
      </w:r>
    </w:p>
    <w:p w14:paraId="3D000000">
      <w:pPr>
        <w:ind w:firstLine="708" w:left="0"/>
        <w:jc w:val="both"/>
        <w:rPr>
          <w:sz w:val="28"/>
        </w:rPr>
      </w:pPr>
    </w:p>
    <w:p w14:paraId="3E000000">
      <w:pPr>
        <w:tabs>
          <w:tab w:leader="none" w:pos="1005" w:val="left"/>
        </w:tabs>
        <w:ind/>
      </w:pPr>
    </w:p>
    <w:p w14:paraId="3F000000"/>
    <w:p w14:paraId="40000000">
      <w:pPr>
        <w:sectPr>
          <w:footerReference r:id="rId3" w:type="default"/>
          <w:pgSz w:h="16840" w:orient="portrait" w:w="11907"/>
          <w:pgMar w:bottom="851" w:footer="720" w:gutter="0" w:header="720" w:left="1701" w:right="567" w:top="1134"/>
        </w:sectPr>
      </w:pPr>
    </w:p>
    <w:p w14:paraId="41000000">
      <w:pPr>
        <w:pStyle w:val="Style_4"/>
        <w:widowControl w:val="0"/>
        <w:numPr>
          <w:ilvl w:val="0"/>
          <w:numId w:val="1"/>
        </w:numPr>
        <w:ind/>
        <w:jc w:val="center"/>
        <w:rPr>
          <w:sz w:val="28"/>
        </w:rPr>
      </w:pPr>
      <w:r>
        <w:rPr>
          <w:sz w:val="28"/>
        </w:rPr>
        <w:t>Основные параметры варианта долгосрочного прогноза, определенные в качестве базовых для целей долгосрочного бюджетного планирования</w:t>
      </w:r>
    </w:p>
    <w:p w14:paraId="42000000">
      <w:pPr>
        <w:pStyle w:val="Style_4"/>
        <w:widowControl w:val="0"/>
        <w:ind w:firstLine="0" w:left="928"/>
        <w:rPr>
          <w:sz w:val="28"/>
        </w:rPr>
      </w:pPr>
    </w:p>
    <w:p w14:paraId="43000000">
      <w:pPr>
        <w:widowControl w:val="0"/>
        <w:ind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тыс. рублей</w:t>
      </w:r>
      <w:r>
        <w:rPr>
          <w:sz w:val="28"/>
        </w:rPr>
        <w:t>)</w:t>
      </w:r>
    </w:p>
    <w:tbl>
      <w:tblPr>
        <w:tblStyle w:val="Style_5"/>
        <w:tblInd w:type="dxa" w:w="-364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359"/>
        <w:gridCol w:w="3289"/>
        <w:gridCol w:w="1682"/>
        <w:gridCol w:w="702"/>
        <w:gridCol w:w="701"/>
        <w:gridCol w:w="702"/>
        <w:gridCol w:w="702"/>
        <w:gridCol w:w="702"/>
        <w:gridCol w:w="701"/>
        <w:gridCol w:w="702"/>
        <w:gridCol w:w="702"/>
        <w:gridCol w:w="702"/>
        <w:gridCol w:w="701"/>
        <w:gridCol w:w="736"/>
        <w:gridCol w:w="807"/>
        <w:gridCol w:w="807"/>
        <w:gridCol w:w="807"/>
      </w:tblGrid>
      <w:tr>
        <w:tc>
          <w:tcPr>
            <w:tcW w:type="dxa" w:w="3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z w:val="22"/>
              </w:rPr>
              <w:t xml:space="preserve"> показателя</w:t>
            </w:r>
          </w:p>
        </w:tc>
        <w:tc>
          <w:tcPr>
            <w:tcW w:type="dxa" w:w="16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  <w:r>
              <w:rPr>
                <w:sz w:val="22"/>
              </w:rPr>
              <w:t xml:space="preserve"> измерения</w:t>
            </w:r>
          </w:p>
        </w:tc>
        <w:tc>
          <w:tcPr>
            <w:tcW w:type="dxa" w:w="10173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 периода прогнозирования</w:t>
            </w:r>
          </w:p>
        </w:tc>
      </w:tr>
      <w:tr>
        <w:tc>
          <w:tcPr>
            <w:tcW w:type="dxa" w:w="3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3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/>
        </w:tc>
        <w:tc>
          <w:tcPr>
            <w:tcW w:type="dxa" w:w="1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2031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2032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2033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2034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2035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2036</w:t>
            </w:r>
          </w:p>
        </w:tc>
      </w:tr>
      <w:tr>
        <w:tc>
          <w:tcPr>
            <w:tcW w:type="dxa" w:w="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c>
          <w:tcPr>
            <w:tcW w:type="dxa" w:w="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Индекс потребительских цен</w:t>
            </w: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 к предыдущему году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</w:tr>
      <w:tr>
        <w:tc>
          <w:tcPr>
            <w:tcW w:type="dxa" w:w="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89000000">
      <w:pPr>
        <w:widowControl w:val="0"/>
        <w:ind/>
        <w:jc w:val="center"/>
        <w:rPr>
          <w:b w:val="1"/>
          <w:sz w:val="28"/>
        </w:rPr>
      </w:pPr>
    </w:p>
    <w:p w14:paraId="8A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2. Прогноз основных характеристик бюджета </w:t>
      </w:r>
      <w:r>
        <w:rPr>
          <w:sz w:val="28"/>
        </w:rPr>
        <w:t>К</w:t>
      </w:r>
      <w:r>
        <w:rPr>
          <w:sz w:val="28"/>
        </w:rPr>
        <w:t>ринично-Лугского</w:t>
      </w:r>
      <w:r>
        <w:rPr>
          <w:sz w:val="28"/>
        </w:rPr>
        <w:t xml:space="preserve"> сельского поселения </w:t>
      </w:r>
    </w:p>
    <w:p w14:paraId="8B000000">
      <w:pPr>
        <w:widowControl w:val="0"/>
        <w:ind w:firstLine="709" w:left="10635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Style w:val="Style_5"/>
        <w:tblInd w:type="dxa" w:w="-364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2105"/>
        <w:gridCol w:w="983"/>
        <w:gridCol w:w="982"/>
        <w:gridCol w:w="982"/>
        <w:gridCol w:w="982"/>
        <w:gridCol w:w="983"/>
        <w:gridCol w:w="982"/>
        <w:gridCol w:w="982"/>
        <w:gridCol w:w="912"/>
        <w:gridCol w:w="983"/>
        <w:gridCol w:w="982"/>
        <w:gridCol w:w="982"/>
        <w:gridCol w:w="842"/>
        <w:gridCol w:w="841"/>
        <w:gridCol w:w="982"/>
      </w:tblGrid>
      <w:tr>
        <w:tc>
          <w:tcPr>
            <w:tcW w:type="dxa" w:w="21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bookmarkStart w:id="2" w:name="Par308"/>
            <w:bookmarkEnd w:id="2"/>
            <w:r>
              <w:rPr>
                <w:sz w:val="24"/>
              </w:rPr>
              <w:t>Наименование показателя</w:t>
            </w:r>
          </w:p>
        </w:tc>
        <w:tc>
          <w:tcPr>
            <w:tcW w:type="dxa" w:w="13397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 периода прогнозирования</w:t>
            </w:r>
          </w:p>
        </w:tc>
      </w:tr>
      <w:tr>
        <w:tc>
          <w:tcPr>
            <w:tcW w:type="dxa" w:w="21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</w:tr>
    </w:tbl>
    <w:p w14:paraId="9C000000">
      <w:pPr>
        <w:widowControl w:val="0"/>
        <w:ind/>
        <w:jc w:val="center"/>
        <w:rPr>
          <w:sz w:val="24"/>
        </w:rPr>
      </w:pPr>
    </w:p>
    <w:tbl>
      <w:tblPr>
        <w:tblStyle w:val="Style_5"/>
        <w:tblInd w:type="dxa" w:w="-364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2096"/>
        <w:gridCol w:w="978"/>
        <w:gridCol w:w="977"/>
        <w:gridCol w:w="977"/>
        <w:gridCol w:w="977"/>
        <w:gridCol w:w="978"/>
        <w:gridCol w:w="977"/>
        <w:gridCol w:w="977"/>
        <w:gridCol w:w="977"/>
        <w:gridCol w:w="978"/>
        <w:gridCol w:w="837"/>
        <w:gridCol w:w="977"/>
        <w:gridCol w:w="838"/>
        <w:gridCol w:w="977"/>
        <w:gridCol w:w="977"/>
      </w:tblGrid>
      <w:tr>
        <w:trPr>
          <w:trHeight w:hRule="atLeast" w:val="205"/>
          <w:tblHeader/>
        </w:trP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c>
          <w:tcPr>
            <w:tcW w:type="dxa" w:w="1270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Показатели бюджета </w:t>
            </w:r>
            <w:r>
              <w:rPr>
                <w:sz w:val="24"/>
              </w:rPr>
              <w:t>Кринично-Лугского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83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D000000"/>
        </w:tc>
        <w:tc>
          <w:tcPr>
            <w:tcW w:type="dxa" w:w="9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/>
        </w:tc>
        <w:tc>
          <w:tcPr>
            <w:tcW w:type="dxa" w:w="9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/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Доходы, в том числе: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7 015,0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rPr>
                <w:sz w:val="24"/>
              </w:rPr>
            </w:pPr>
            <w:r>
              <w:rPr>
                <w:sz w:val="24"/>
              </w:rPr>
              <w:t>24 207,9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rPr>
                <w:sz w:val="24"/>
              </w:rPr>
            </w:pPr>
            <w:r>
              <w:rPr>
                <w:sz w:val="24"/>
              </w:rPr>
              <w:t>23 729,5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rPr>
                <w:sz w:val="24"/>
              </w:rPr>
            </w:pPr>
            <w:r>
              <w:rPr>
                <w:sz w:val="24"/>
              </w:rPr>
              <w:t>24736,3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rPr>
                <w:sz w:val="24"/>
              </w:rPr>
            </w:pPr>
            <w:r>
              <w:rPr>
                <w:sz w:val="24"/>
              </w:rPr>
              <w:t>25491,8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>26277,5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rPr>
                <w:sz w:val="24"/>
              </w:rPr>
            </w:pPr>
            <w:r>
              <w:rPr>
                <w:sz w:val="24"/>
              </w:rPr>
              <w:t>27094,6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rPr>
                <w:sz w:val="24"/>
              </w:rPr>
            </w:pPr>
            <w:r>
              <w:rPr>
                <w:sz w:val="24"/>
              </w:rPr>
              <w:t>27944,4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rPr>
                <w:sz w:val="24"/>
              </w:rPr>
            </w:pPr>
            <w:r>
              <w:rPr>
                <w:sz w:val="24"/>
              </w:rPr>
              <w:t>28828,2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A000000">
            <w:pPr>
              <w:rPr>
                <w:sz w:val="24"/>
              </w:rPr>
            </w:pPr>
            <w:r>
              <w:rPr>
                <w:sz w:val="24"/>
              </w:rPr>
              <w:t>29747,4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rPr>
                <w:sz w:val="24"/>
              </w:rPr>
            </w:pPr>
            <w:r>
              <w:rPr>
                <w:sz w:val="24"/>
              </w:rPr>
              <w:t>30703,3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>31697,5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>32731,4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33806,7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4 649,7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4 824,8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rPr>
                <w:sz w:val="24"/>
              </w:rPr>
            </w:pPr>
            <w:r>
              <w:rPr>
                <w:sz w:val="24"/>
              </w:rPr>
              <w:t>15 243,4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rPr>
                <w:sz w:val="24"/>
              </w:rPr>
            </w:pPr>
            <w:r>
              <w:rPr>
                <w:sz w:val="24"/>
              </w:rPr>
              <w:t>18888,</w:t>
            </w:r>
            <w:r>
              <w:rPr>
                <w:sz w:val="24"/>
              </w:rPr>
              <w:t>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rPr>
                <w:sz w:val="24"/>
              </w:rPr>
            </w:pPr>
            <w:r>
              <w:rPr>
                <w:sz w:val="24"/>
              </w:rPr>
              <w:t>19644,</w:t>
            </w:r>
            <w:r>
              <w:rPr>
                <w:sz w:val="24"/>
              </w:rPr>
              <w:t>2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rPr>
                <w:sz w:val="24"/>
              </w:rPr>
            </w:pPr>
            <w:r>
              <w:rPr>
                <w:sz w:val="24"/>
              </w:rPr>
              <w:t>20429,9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rPr>
                <w:sz w:val="24"/>
              </w:rPr>
            </w:pPr>
            <w:r>
              <w:rPr>
                <w:sz w:val="24"/>
              </w:rPr>
              <w:t>21247,</w:t>
            </w:r>
            <w:r>
              <w:rPr>
                <w:sz w:val="24"/>
              </w:rPr>
              <w:t>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22096,8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rPr>
                <w:sz w:val="24"/>
              </w:rPr>
            </w:pPr>
            <w:r>
              <w:rPr>
                <w:sz w:val="24"/>
              </w:rPr>
              <w:t>22980,6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9000000">
            <w:pPr>
              <w:rPr>
                <w:sz w:val="24"/>
              </w:rPr>
            </w:pPr>
            <w:r>
              <w:rPr>
                <w:sz w:val="24"/>
              </w:rPr>
              <w:t>23899,8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rPr>
                <w:sz w:val="24"/>
              </w:rPr>
            </w:pPr>
            <w:r>
              <w:rPr>
                <w:sz w:val="24"/>
              </w:rPr>
              <w:t>24855,7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B000000">
            <w:pPr>
              <w:rPr>
                <w:sz w:val="24"/>
              </w:rPr>
            </w:pPr>
            <w:r>
              <w:rPr>
                <w:sz w:val="24"/>
              </w:rPr>
              <w:t>25849,</w:t>
            </w:r>
            <w:r>
              <w:rPr>
                <w:sz w:val="24"/>
              </w:rPr>
              <w:t>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rPr>
                <w:sz w:val="24"/>
              </w:rPr>
            </w:pPr>
            <w:r>
              <w:rPr>
                <w:sz w:val="24"/>
              </w:rPr>
              <w:t>26883,8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>27959,1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12 365,3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9 383,1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rPr>
                <w:sz w:val="24"/>
              </w:rPr>
            </w:pPr>
            <w:r>
              <w:rPr>
                <w:sz w:val="24"/>
              </w:rPr>
              <w:t>8 486,1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8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A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rPr>
                <w:sz w:val="24"/>
              </w:rPr>
            </w:pPr>
            <w:r>
              <w:rPr>
                <w:sz w:val="24"/>
              </w:rPr>
              <w:t>27 015,0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rPr>
                <w:sz w:val="24"/>
              </w:rPr>
            </w:pPr>
            <w:r>
              <w:rPr>
                <w:sz w:val="24"/>
              </w:rPr>
              <w:t>24 207,9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rPr>
                <w:sz w:val="24"/>
              </w:rPr>
            </w:pPr>
            <w:r>
              <w:rPr>
                <w:sz w:val="24"/>
              </w:rPr>
              <w:t>23 729,5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rPr>
                <w:sz w:val="24"/>
              </w:rPr>
            </w:pPr>
            <w:r>
              <w:rPr>
                <w:sz w:val="24"/>
              </w:rPr>
              <w:t>24736,3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rPr>
                <w:sz w:val="24"/>
              </w:rPr>
            </w:pPr>
            <w:r>
              <w:rPr>
                <w:sz w:val="24"/>
              </w:rPr>
              <w:t>25491,8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rPr>
                <w:sz w:val="24"/>
              </w:rPr>
            </w:pPr>
            <w:r>
              <w:rPr>
                <w:sz w:val="24"/>
              </w:rPr>
              <w:t>26277,5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rPr>
                <w:sz w:val="24"/>
              </w:rPr>
            </w:pPr>
            <w:r>
              <w:rPr>
                <w:sz w:val="24"/>
              </w:rPr>
              <w:t>27094,6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rPr>
                <w:sz w:val="24"/>
              </w:rPr>
            </w:pPr>
            <w:r>
              <w:rPr>
                <w:sz w:val="24"/>
              </w:rPr>
              <w:t>27944,4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rPr>
                <w:sz w:val="24"/>
              </w:rPr>
            </w:pPr>
            <w:r>
              <w:rPr>
                <w:sz w:val="24"/>
              </w:rPr>
              <w:t>28828,2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7000000">
            <w:pPr>
              <w:rPr>
                <w:sz w:val="24"/>
              </w:rPr>
            </w:pPr>
            <w:r>
              <w:rPr>
                <w:sz w:val="24"/>
              </w:rPr>
              <w:t>29747,4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>30703,3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9000000">
            <w:pPr>
              <w:rPr>
                <w:sz w:val="24"/>
              </w:rPr>
            </w:pPr>
            <w:r>
              <w:rPr>
                <w:sz w:val="24"/>
              </w:rPr>
              <w:t>31697,5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rPr>
                <w:sz w:val="24"/>
              </w:rPr>
            </w:pPr>
            <w:r>
              <w:rPr>
                <w:sz w:val="24"/>
              </w:rPr>
              <w:t>32731,4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rPr>
                <w:sz w:val="24"/>
              </w:rPr>
            </w:pPr>
            <w:r>
              <w:rPr>
                <w:sz w:val="24"/>
              </w:rPr>
              <w:t>33806,7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(без учета условно утвержденных расходов)*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610,4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558,9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24124,13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24860,7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25626,8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26423,4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27252,0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28113,7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6000000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29009,9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29941,9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8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30911,3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31919,3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32967,7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Дефицит/профицит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 дефицита бюджета, в том числе: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долг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3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28010000">
      <w:pPr>
        <w:widowControl w:val="0"/>
        <w:ind/>
        <w:rPr>
          <w:b w:val="1"/>
          <w:sz w:val="24"/>
        </w:rPr>
      </w:pPr>
      <w:r>
        <w:rPr>
          <w:b w:val="1"/>
          <w:sz w:val="24"/>
        </w:rPr>
        <w:t>-</w:t>
      </w:r>
    </w:p>
    <w:p w14:paraId="29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  <w:r>
        <w:rPr>
          <w:sz w:val="24"/>
        </w:rPr>
        <w:t> </w:t>
      </w:r>
      <w:r>
        <w:rPr>
          <w:sz w:val="24"/>
        </w:rPr>
        <w:t>* В расходах бюджета поселения выделены расходы за исключением условно утвержденных расходов на плановый период 2024 – 2036 годов в соответствии с методикой расчета, предусмотренной приказом министерства финансов Ростовской области от 15.06.2016 № 49 «О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период», на 2024 год условно утвержденные расходы составляют 2,5 процента от общего</w:t>
      </w:r>
      <w:r>
        <w:rPr>
          <w:sz w:val="24"/>
        </w:rPr>
        <w:t xml:space="preserve"> объема расходов за исключением расходов, предусмотренных за счет целевых средств из федерального бюджета, на 2025 год – 5,0 процента от общего объема расходов за исключением расходов, предусмотренных за счет целевых средств из федерального бюджета, далее – по годам с увеличением на 2,5 процента ежегодно.</w:t>
      </w:r>
    </w:p>
    <w:p w14:paraId="2A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p w14:paraId="2B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p w14:paraId="2C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p w14:paraId="2D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p w14:paraId="2E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p w14:paraId="2F010000">
      <w:pPr>
        <w:widowControl w:val="0"/>
        <w:ind/>
        <w:jc w:val="center"/>
        <w:rPr>
          <w:sz w:val="28"/>
        </w:rPr>
      </w:pPr>
    </w:p>
    <w:p w14:paraId="30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2.1. Показатели финансового обеспечения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31010000">
      <w:pPr>
        <w:widowControl w:val="0"/>
        <w:tabs>
          <w:tab w:leader="none" w:pos="12750" w:val="left"/>
        </w:tabs>
        <w:ind/>
        <w:rPr>
          <w:sz w:val="24"/>
        </w:rPr>
      </w:pPr>
      <w:r>
        <w:rPr>
          <w:sz w:val="24"/>
        </w:rPr>
        <w:tab/>
      </w:r>
      <w:r>
        <w:rPr>
          <w:sz w:val="24"/>
        </w:rPr>
        <w:t>(</w:t>
      </w:r>
      <w:r>
        <w:rPr>
          <w:sz w:val="24"/>
        </w:rPr>
        <w:t>тыс</w:t>
      </w:r>
      <w:r>
        <w:rPr>
          <w:sz w:val="24"/>
        </w:rPr>
        <w:t>.р</w:t>
      </w:r>
      <w:r>
        <w:rPr>
          <w:sz w:val="24"/>
        </w:rPr>
        <w:t>уб</w:t>
      </w:r>
      <w:r>
        <w:rPr>
          <w:sz w:val="24"/>
        </w:rPr>
        <w:t>.)</w:t>
      </w:r>
    </w:p>
    <w:tbl>
      <w:tblPr>
        <w:tblStyle w:val="Style_5"/>
        <w:tblInd w:type="dxa" w:w="-78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51"/>
        <w:gridCol w:w="820"/>
        <w:gridCol w:w="821"/>
        <w:gridCol w:w="955"/>
        <w:gridCol w:w="820"/>
        <w:gridCol w:w="821"/>
        <w:gridCol w:w="955"/>
        <w:gridCol w:w="955"/>
        <w:gridCol w:w="956"/>
        <w:gridCol w:w="820"/>
        <w:gridCol w:w="955"/>
        <w:gridCol w:w="956"/>
        <w:gridCol w:w="955"/>
        <w:gridCol w:w="820"/>
        <w:gridCol w:w="861"/>
      </w:tblGrid>
      <w:tr>
        <w:trPr>
          <w:tblHeader/>
        </w:trPr>
        <w:tc>
          <w:tcPr>
            <w:tcW w:type="dxa" w:w="15321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Расходы на финансовое обеспечение реализации муниципальных программ </w:t>
            </w:r>
            <w:r>
              <w:rPr>
                <w:rFonts w:ascii="Times New Roman" w:hAnsi="Times New Roman"/>
                <w:sz w:val="22"/>
              </w:rPr>
              <w:t>Кринично-Лугского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</w:t>
            </w:r>
            <w:r>
              <w:rPr>
                <w:sz w:val="24"/>
                <w:vertAlign w:val="superscript"/>
              </w:rPr>
              <w:t>1</w:t>
            </w:r>
          </w:p>
        </w:tc>
      </w:tr>
      <w:tr>
        <w:trPr>
          <w:tblHeader/>
        </w:trPr>
        <w:tc>
          <w:tcPr>
            <w:tcW w:type="dxa" w:w="2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10000">
            <w:pPr>
              <w:pStyle w:val="Style_6"/>
              <w:ind w:firstLine="58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муниципальной программы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z w:val="22"/>
              </w:rPr>
              <w:t>ринично-Лугского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сельского поселения</w:t>
            </w:r>
          </w:p>
        </w:tc>
        <w:tc>
          <w:tcPr>
            <w:tcW w:type="dxa" w:w="12470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Год периода прогнозирования</w:t>
            </w:r>
          </w:p>
        </w:tc>
      </w:tr>
      <w:tr>
        <w:trPr>
          <w:trHeight w:hRule="atLeast" w:val="496"/>
          <w:tblHeader/>
        </w:trPr>
        <w:tc>
          <w:tcPr>
            <w:tcW w:type="dxa" w:w="2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2032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3010000">
            <w:pPr>
              <w:rPr>
                <w:sz w:val="22"/>
              </w:rPr>
            </w:pPr>
            <w:r>
              <w:rPr>
                <w:sz w:val="22"/>
              </w:rPr>
              <w:t xml:space="preserve"> Развитие культуры и туризма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13 056,4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12 318,6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11208,1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10 224,8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10224,8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10 224,8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10 224,8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10 224,8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2010000">
            <w:pPr>
              <w:rPr>
                <w:sz w:val="22"/>
              </w:rPr>
            </w:pPr>
            <w:r>
              <w:rPr>
                <w:sz w:val="22"/>
              </w:rPr>
              <w:t xml:space="preserve"> Развитие физической культуры и спорта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50,0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10000">
            <w:pPr>
              <w:ind/>
              <w:jc w:val="center"/>
            </w:pPr>
            <w:r>
              <w:rPr>
                <w:spacing w:val="-20"/>
              </w:rPr>
              <w:t>50,0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10000">
            <w:pPr>
              <w:ind/>
              <w:jc w:val="center"/>
            </w:pPr>
            <w:r>
              <w:rPr>
                <w:spacing w:val="-20"/>
              </w:rPr>
              <w:t>50,0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10000">
            <w:pPr>
              <w:ind/>
              <w:jc w:val="center"/>
            </w:pPr>
            <w:r>
              <w:rPr>
                <w:spacing w:val="-20"/>
              </w:rPr>
              <w:t>50,0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1010000">
            <w:pPr>
              <w:rPr>
                <w:sz w:val="22"/>
              </w:rPr>
            </w:pPr>
            <w:r>
              <w:rPr>
                <w:sz w:val="22"/>
              </w:rPr>
              <w:t xml:space="preserve"> Обеспечение качественными жилищно-коммунальными услугами населения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2 781,4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1 128,3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1 178,3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1 531,4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10000">
            <w:pPr>
              <w:ind/>
              <w:jc w:val="center"/>
            </w:pPr>
            <w:r>
              <w:rPr>
                <w:spacing w:val="-20"/>
              </w:rPr>
              <w:t>1 531,4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10000">
            <w:pPr>
              <w:ind/>
              <w:jc w:val="center"/>
            </w:pPr>
            <w:r>
              <w:rPr>
                <w:spacing w:val="-20"/>
              </w:rPr>
              <w:t>1 531,4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10000">
            <w:pPr>
              <w:ind/>
              <w:jc w:val="center"/>
            </w:pPr>
            <w:r>
              <w:rPr>
                <w:spacing w:val="-20"/>
              </w:rPr>
              <w:t>1 531,4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10000">
            <w:pPr>
              <w:ind/>
              <w:jc w:val="center"/>
            </w:pPr>
            <w:r>
              <w:rPr>
                <w:spacing w:val="-20"/>
              </w:rPr>
              <w:t>1 531,4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0010000">
            <w:pPr>
              <w:rPr>
                <w:sz w:val="22"/>
              </w:rPr>
            </w:pPr>
            <w:r>
              <w:rPr>
                <w:sz w:val="22"/>
              </w:rPr>
              <w:t>Охрана окружающей среды и рациональное природопользование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31,1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31,1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31,1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26,4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10000">
            <w:pPr>
              <w:ind/>
              <w:jc w:val="center"/>
            </w:pPr>
            <w:r>
              <w:rPr>
                <w:spacing w:val="-20"/>
              </w:rPr>
              <w:t>26,4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10000">
            <w:pPr>
              <w:ind/>
              <w:jc w:val="center"/>
            </w:pPr>
            <w:r>
              <w:rPr>
                <w:spacing w:val="-20"/>
              </w:rPr>
              <w:t>26,4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10000">
            <w:pPr>
              <w:ind/>
              <w:jc w:val="center"/>
            </w:pPr>
            <w:r>
              <w:rPr>
                <w:spacing w:val="-20"/>
              </w:rPr>
              <w:t>26,4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10000">
            <w:pPr>
              <w:ind/>
              <w:jc w:val="center"/>
            </w:pPr>
            <w:r>
              <w:rPr>
                <w:spacing w:val="-20"/>
              </w:rPr>
              <w:t>26,4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F010000">
            <w:pPr>
              <w:rPr>
                <w:sz w:val="22"/>
              </w:rPr>
            </w:pPr>
            <w:r>
              <w:rPr>
                <w:sz w:val="22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10000">
            <w:pPr>
              <w:ind/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10000">
            <w:pPr>
              <w:ind/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10000">
            <w:pPr>
              <w:ind/>
              <w:jc w:val="center"/>
            </w:pPr>
            <w:r>
              <w:rPr>
                <w:spacing w:val="-20"/>
              </w:rPr>
              <w:t>7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10000">
            <w:pPr>
              <w:ind/>
              <w:jc w:val="center"/>
            </w:pPr>
            <w:r>
              <w:rPr>
                <w:spacing w:val="-20"/>
              </w:rPr>
              <w:t>7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10000">
            <w:pPr>
              <w:ind/>
              <w:jc w:val="center"/>
            </w:pPr>
            <w:r>
              <w:rPr>
                <w:spacing w:val="-20"/>
              </w:rPr>
              <w:t>7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10000">
            <w:pPr>
              <w:ind/>
              <w:jc w:val="center"/>
            </w:pPr>
            <w:r>
              <w:rPr>
                <w:spacing w:val="-20"/>
              </w:rPr>
              <w:t>7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10000">
            <w:pPr>
              <w:ind/>
              <w:jc w:val="center"/>
            </w:pPr>
            <w:r>
              <w:rPr>
                <w:spacing w:val="-20"/>
              </w:rPr>
              <w:t>7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E010000">
            <w:pPr>
              <w:rPr>
                <w:sz w:val="22"/>
              </w:rPr>
            </w:pPr>
            <w:r>
              <w:rPr>
                <w:sz w:val="22"/>
              </w:rPr>
              <w:t>Информационное общество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181,5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10000">
            <w:pPr>
              <w:ind/>
              <w:jc w:val="center"/>
            </w:pPr>
            <w:r>
              <w:rPr>
                <w:spacing w:val="-20"/>
              </w:rPr>
              <w:t>10,0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10000">
            <w:pPr>
              <w:ind/>
              <w:jc w:val="center"/>
            </w:pPr>
            <w:r>
              <w:rPr>
                <w:spacing w:val="-20"/>
              </w:rPr>
              <w:t>1</w:t>
            </w:r>
            <w:r>
              <w:rPr>
                <w:spacing w:val="-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10000">
            <w:pPr>
              <w:ind/>
              <w:jc w:val="center"/>
            </w:pPr>
            <w:r>
              <w:rPr>
                <w:spacing w:val="-20"/>
              </w:rPr>
              <w:t>150,0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10000">
            <w:pPr>
              <w:ind/>
              <w:jc w:val="center"/>
            </w:pPr>
            <w:r>
              <w:rPr>
                <w:spacing w:val="-20"/>
              </w:rPr>
              <w:t>150,0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ind/>
              <w:jc w:val="center"/>
            </w:pPr>
            <w:r>
              <w:rPr>
                <w:spacing w:val="-20"/>
              </w:rPr>
              <w:t>150,0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10000">
            <w:pPr>
              <w:ind/>
              <w:jc w:val="center"/>
            </w:pPr>
            <w:r>
              <w:rPr>
                <w:spacing w:val="-20"/>
              </w:rPr>
              <w:t>150,0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ind/>
              <w:jc w:val="center"/>
            </w:pPr>
            <w:r>
              <w:rPr>
                <w:spacing w:val="-20"/>
              </w:rPr>
              <w:t>150,0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D010000">
            <w:pPr>
              <w:rPr>
                <w:sz w:val="22"/>
              </w:rPr>
            </w:pPr>
            <w:r>
              <w:rPr>
                <w:sz w:val="22"/>
              </w:rPr>
              <w:t>Энергоэффективность</w:t>
            </w:r>
            <w:r>
              <w:rPr>
                <w:sz w:val="22"/>
              </w:rPr>
              <w:t xml:space="preserve"> и развитие энергетики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10000">
            <w:pPr>
              <w:ind/>
              <w:jc w:val="center"/>
            </w:pPr>
            <w:r>
              <w:rPr>
                <w:spacing w:val="-20"/>
              </w:rPr>
              <w:t>10,0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10000">
            <w:pPr>
              <w:ind/>
              <w:jc w:val="center"/>
            </w:pPr>
            <w:r>
              <w:rPr>
                <w:spacing w:val="-20"/>
              </w:rPr>
              <w:t>10,0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10000">
            <w:pPr>
              <w:ind/>
              <w:jc w:val="center"/>
            </w:pPr>
            <w:r>
              <w:rPr>
                <w:spacing w:val="-20"/>
              </w:rPr>
              <w:t>3</w:t>
            </w:r>
            <w:r>
              <w:rPr>
                <w:spacing w:val="-20"/>
              </w:rP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10000">
            <w:pPr>
              <w:ind/>
              <w:jc w:val="center"/>
            </w:pPr>
            <w:r>
              <w:rPr>
                <w:spacing w:val="-20"/>
              </w:rPr>
              <w:t>3</w:t>
            </w:r>
            <w:r>
              <w:rPr>
                <w:spacing w:val="-20"/>
              </w:rPr>
              <w:t>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10000">
            <w:pPr>
              <w:ind/>
              <w:jc w:val="center"/>
            </w:pPr>
            <w:r>
              <w:rPr>
                <w:spacing w:val="-20"/>
              </w:rPr>
              <w:t>3</w:t>
            </w:r>
            <w:r>
              <w:rPr>
                <w:spacing w:val="-20"/>
              </w:rPr>
              <w:t>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10000">
            <w:pPr>
              <w:ind/>
              <w:jc w:val="center"/>
            </w:pPr>
            <w:r>
              <w:rPr>
                <w:spacing w:val="-20"/>
              </w:rPr>
              <w:t>3</w:t>
            </w:r>
            <w:r>
              <w:rPr>
                <w:spacing w:val="-20"/>
              </w:rPr>
              <w:t>0,0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10000">
            <w:pPr>
              <w:ind/>
              <w:jc w:val="center"/>
            </w:pPr>
            <w:r>
              <w:rPr>
                <w:spacing w:val="-20"/>
              </w:rPr>
              <w:t>3</w:t>
            </w:r>
            <w:r>
              <w:rPr>
                <w:spacing w:val="-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C010000">
            <w:pPr>
              <w:rPr>
                <w:sz w:val="22"/>
              </w:rPr>
            </w:pPr>
            <w:r>
              <w:rPr>
                <w:sz w:val="22"/>
              </w:rPr>
              <w:t xml:space="preserve"> 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70,0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10000">
            <w:pPr>
              <w:ind/>
              <w:jc w:val="center"/>
            </w:pPr>
            <w:r>
              <w:rPr>
                <w:spacing w:val="-20"/>
              </w:rPr>
              <w:t>70,0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10000">
            <w:pPr>
              <w:ind/>
              <w:jc w:val="center"/>
            </w:pPr>
            <w:r>
              <w:rPr>
                <w:spacing w:val="-20"/>
              </w:rPr>
              <w:t>70,0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10000">
            <w:pPr>
              <w:ind/>
              <w:jc w:val="center"/>
            </w:pPr>
            <w:r>
              <w:rPr>
                <w:spacing w:val="-20"/>
              </w:rPr>
              <w:t>65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10000">
            <w:pPr>
              <w:ind/>
              <w:jc w:val="center"/>
            </w:pPr>
            <w:r>
              <w:rPr>
                <w:spacing w:val="-20"/>
              </w:rPr>
              <w:t>65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65,0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10000">
            <w:pPr>
              <w:ind/>
              <w:jc w:val="center"/>
            </w:pPr>
            <w:r>
              <w:rPr>
                <w:spacing w:val="-20"/>
              </w:rPr>
              <w:t>10</w:t>
            </w:r>
            <w:r>
              <w:rPr>
                <w:spacing w:val="-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B010000">
            <w:pPr>
              <w:rPr>
                <w:sz w:val="22"/>
              </w:rPr>
            </w:pPr>
            <w:r>
              <w:rPr>
                <w:sz w:val="22"/>
              </w:rPr>
              <w:t>Муниципальная политика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9 940,0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9212,9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9253,3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6872,0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ind/>
              <w:jc w:val="center"/>
            </w:pPr>
            <w:r>
              <w:rPr>
                <w:spacing w:val="-20"/>
              </w:rPr>
              <w:t>6872,0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ind/>
              <w:jc w:val="center"/>
            </w:pPr>
            <w:r>
              <w:rPr>
                <w:spacing w:val="-20"/>
              </w:rPr>
              <w:t>6872,0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ind/>
              <w:jc w:val="center"/>
            </w:pPr>
            <w:r>
              <w:rPr>
                <w:spacing w:val="-20"/>
              </w:rPr>
              <w:t>6872,0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ind/>
              <w:jc w:val="center"/>
            </w:pPr>
            <w:r>
              <w:rPr>
                <w:spacing w:val="-20"/>
              </w:rPr>
              <w:t>6872,0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10000">
            <w:pPr>
              <w:pStyle w:val="Style_6"/>
              <w:ind w:firstLine="58"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2"/>
              </w:rPr>
              <w:t>Кринично-Лугского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50,0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1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1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1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1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1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26 087,4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22 843,9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21773,8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18951,6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18916,6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r>
              <w:rPr>
                <w:spacing w:val="-20"/>
              </w:rPr>
              <w:t>18916,6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r>
              <w:rPr>
                <w:spacing w:val="-20"/>
              </w:rPr>
              <w:t>18916,6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18951,6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</w:tr>
    </w:tbl>
    <w:p w14:paraId="E8010000"/>
    <w:p w14:paraId="E9010000">
      <w:pPr>
        <w:tabs>
          <w:tab w:leader="none" w:pos="0" w:val="left"/>
        </w:tabs>
        <w:ind/>
        <w:jc w:val="both"/>
        <w:rPr>
          <w:sz w:val="24"/>
        </w:rPr>
      </w:pPr>
      <w:r>
        <w:tab/>
      </w:r>
      <w:r>
        <w:rPr>
          <w:sz w:val="24"/>
          <w:vertAlign w:val="superscript"/>
        </w:rPr>
        <w:t>1</w:t>
      </w:r>
      <w:r>
        <w:rPr>
          <w:sz w:val="24"/>
        </w:rPr>
        <w:t xml:space="preserve"> Плановые бюджетные ассигнования, предусмотренные за счет средств областного бюджета и безвозмездных поступлений </w:t>
      </w:r>
      <w:r>
        <w:rPr>
          <w:sz w:val="24"/>
        </w:rPr>
        <w:t xml:space="preserve">в </w:t>
      </w:r>
      <w:r>
        <w:rPr>
          <w:sz w:val="24"/>
        </w:rPr>
        <w:t>бюджет</w:t>
      </w:r>
      <w:r>
        <w:rPr>
          <w:sz w:val="24"/>
        </w:rPr>
        <w:t xml:space="preserve"> поселения</w:t>
      </w:r>
      <w:r>
        <w:rPr>
          <w:sz w:val="24"/>
        </w:rPr>
        <w:t>.</w:t>
      </w:r>
    </w:p>
    <w:p w14:paraId="EA010000">
      <w:pPr>
        <w:ind w:firstLine="709" w:left="0"/>
        <w:jc w:val="both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 xml:space="preserve"> Объем бюджетных ассигнований соответствует </w:t>
      </w:r>
      <w:r>
        <w:rPr>
          <w:sz w:val="24"/>
        </w:rPr>
        <w:t>решени</w:t>
      </w:r>
      <w:r>
        <w:rPr>
          <w:sz w:val="24"/>
        </w:rPr>
        <w:t xml:space="preserve">ю </w:t>
      </w:r>
      <w:r>
        <w:rPr>
          <w:sz w:val="24"/>
        </w:rPr>
        <w:t xml:space="preserve">Собрания депутатов </w:t>
      </w:r>
      <w:r>
        <w:rPr>
          <w:sz w:val="24"/>
        </w:rPr>
        <w:t xml:space="preserve">от 23.12.2022 № 62 </w:t>
      </w:r>
      <w:r>
        <w:rPr>
          <w:sz w:val="24"/>
        </w:rPr>
        <w:t xml:space="preserve">«О бюджете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 на 2023 год и на плановый период 2024 и 2025 годов»</w:t>
      </w:r>
      <w:r>
        <w:rPr>
          <w:sz w:val="24"/>
        </w:rPr>
        <w:t xml:space="preserve"> </w:t>
      </w:r>
      <w:r>
        <w:rPr>
          <w:sz w:val="24"/>
        </w:rPr>
        <w:t>по состоянию на 1 января 2023 г.</w:t>
      </w:r>
    </w:p>
    <w:p w14:paraId="EB010000">
      <w:pPr>
        <w:ind w:firstLine="709" w:left="0"/>
        <w:jc w:val="both"/>
        <w:rPr>
          <w:sz w:val="24"/>
        </w:rPr>
      </w:pPr>
      <w:r>
        <w:rPr>
          <w:sz w:val="24"/>
          <w:vertAlign w:val="superscript"/>
        </w:rPr>
        <w:t>3</w:t>
      </w:r>
      <w:r>
        <w:rPr>
          <w:sz w:val="24"/>
        </w:rPr>
        <w:t xml:space="preserve"> Объем бюджетных ассигнований соответствует постановлениям Правительства </w:t>
      </w:r>
      <w:r>
        <w:rPr>
          <w:sz w:val="24"/>
        </w:rPr>
        <w:t xml:space="preserve">Администрации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 об утверждении муниципальных </w:t>
      </w:r>
      <w:r>
        <w:rPr>
          <w:sz w:val="24"/>
        </w:rPr>
        <w:t xml:space="preserve">программ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по состоянию на 1 января 2023 г. </w:t>
      </w:r>
    </w:p>
    <w:p w14:paraId="EC010000">
      <w:pPr>
        <w:ind w:firstLine="709" w:left="0"/>
        <w:jc w:val="both"/>
        <w:rPr>
          <w:sz w:val="24"/>
        </w:rPr>
      </w:pPr>
    </w:p>
    <w:p w14:paraId="ED010000">
      <w:pPr>
        <w:ind w:firstLine="709" w:left="0"/>
        <w:jc w:val="both"/>
        <w:rPr>
          <w:sz w:val="24"/>
        </w:rPr>
      </w:pPr>
      <w:r>
        <w:rPr>
          <w:sz w:val="24"/>
        </w:rPr>
        <w:t>Примечание.</w:t>
      </w:r>
    </w:p>
    <w:p w14:paraId="EE01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Муниципальная </w:t>
      </w:r>
      <w:r>
        <w:rPr>
          <w:sz w:val="24"/>
        </w:rPr>
        <w:t xml:space="preserve">программа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«Формирование современной городской среды на территории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поселения» реализуется с 2018 по 2025 год.</w:t>
      </w:r>
    </w:p>
    <w:p w14:paraId="EF010000">
      <w:pPr>
        <w:ind w:firstLine="709" w:left="0"/>
        <w:rPr>
          <w:sz w:val="28"/>
        </w:rPr>
      </w:pPr>
      <w:r>
        <w:rPr>
          <w:sz w:val="24"/>
        </w:rPr>
        <w:t>Х – не подлежит заполнению</w:t>
      </w:r>
      <w:bookmarkStart w:id="3" w:name="_GoBack"/>
      <w:bookmarkEnd w:id="3"/>
    </w:p>
    <w:p w14:paraId="F0010000">
      <w:pPr>
        <w:sectPr>
          <w:footerReference r:id="rId2" w:type="default"/>
          <w:pgSz w:h="11907" w:orient="landscape" w:w="16840"/>
          <w:pgMar w:bottom="851" w:footer="720" w:gutter="0" w:header="720" w:left="851" w:right="851" w:top="1418"/>
        </w:sectPr>
      </w:pPr>
    </w:p>
    <w:p w14:paraId="F1010000">
      <w:pPr>
        <w:widowControl w:val="0"/>
        <w:numPr>
          <w:ilvl w:val="1"/>
          <w:numId w:val="2"/>
        </w:numPr>
        <w:tabs>
          <w:tab w:leader="none" w:pos="0" w:val="left"/>
          <w:tab w:leader="none" w:pos="2700" w:val="clear"/>
        </w:tabs>
        <w:ind w:firstLine="851" w:left="0"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сновные подходы к формированию бюджетной политики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</w:t>
      </w:r>
      <w:r>
        <w:rPr>
          <w:sz w:val="28"/>
        </w:rPr>
        <w:t>23</w:t>
      </w:r>
      <w:r>
        <w:rPr>
          <w:sz w:val="28"/>
        </w:rPr>
        <w:t>-203</w:t>
      </w:r>
      <w:r>
        <w:rPr>
          <w:sz w:val="28"/>
        </w:rPr>
        <w:t>6</w:t>
      </w:r>
      <w:r>
        <w:rPr>
          <w:sz w:val="28"/>
        </w:rPr>
        <w:t xml:space="preserve"> год</w:t>
      </w:r>
      <w:r>
        <w:rPr>
          <w:sz w:val="28"/>
        </w:rPr>
        <w:t>ов</w:t>
      </w:r>
    </w:p>
    <w:p w14:paraId="F2010000">
      <w:pPr>
        <w:ind w:firstLine="709" w:left="0"/>
        <w:jc w:val="both"/>
        <w:rPr>
          <w:sz w:val="28"/>
        </w:rPr>
      </w:pPr>
    </w:p>
    <w:p w14:paraId="F3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F4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Расчет прогнозных показателей дефицита (профицита), источников его финансирования и </w:t>
      </w:r>
      <w:r>
        <w:rPr>
          <w:sz w:val="28"/>
        </w:rPr>
        <w:t xml:space="preserve">муниципального </w:t>
      </w:r>
      <w:r>
        <w:rPr>
          <w:sz w:val="28"/>
        </w:rPr>
        <w:t xml:space="preserve">долга </w:t>
      </w:r>
      <w:r>
        <w:rPr>
          <w:sz w:val="28"/>
        </w:rPr>
        <w:t>поселения</w:t>
      </w:r>
      <w:r>
        <w:rPr>
          <w:sz w:val="28"/>
        </w:rPr>
        <w:t xml:space="preserve"> осуществлен исходя из ограничений по размеру дефицита и уровню </w:t>
      </w:r>
      <w:r>
        <w:rPr>
          <w:sz w:val="28"/>
        </w:rPr>
        <w:t>муниципального</w:t>
      </w:r>
      <w:r>
        <w:rPr>
          <w:sz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F5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прогнозируемом периоде будет продолжена долговая </w:t>
      </w:r>
      <w:r>
        <w:rPr>
          <w:sz w:val="28"/>
        </w:rPr>
        <w:t xml:space="preserve">политика </w:t>
      </w:r>
      <w:r>
        <w:rPr>
          <w:sz w:val="28"/>
        </w:rPr>
        <w:t>на отсутствие</w:t>
      </w:r>
      <w:r>
        <w:rPr>
          <w:sz w:val="28"/>
        </w:rPr>
        <w:t xml:space="preserve"> муниципального </w:t>
      </w:r>
      <w:r>
        <w:rPr>
          <w:sz w:val="28"/>
        </w:rPr>
        <w:t>долг</w:t>
      </w:r>
      <w:r>
        <w:rPr>
          <w:sz w:val="28"/>
        </w:rPr>
        <w:t>а</w:t>
      </w:r>
      <w:r>
        <w:rPr>
          <w:sz w:val="28"/>
        </w:rPr>
        <w:t>.</w:t>
      </w:r>
    </w:p>
    <w:p w14:paraId="F6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Бюджетная </w:t>
      </w:r>
      <w:r>
        <w:rPr>
          <w:sz w:val="28"/>
        </w:rPr>
        <w:t>политика на</w:t>
      </w:r>
      <w:r>
        <w:rPr>
          <w:sz w:val="28"/>
        </w:rPr>
        <w:t xml:space="preserve">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</w:rPr>
        <w:t>поселения</w:t>
      </w:r>
      <w:r>
        <w:rPr>
          <w:sz w:val="28"/>
        </w:rPr>
        <w:t xml:space="preserve"> при одновременном обеспечении устойчивости и сбалансированности бюджетной системы.</w:t>
      </w:r>
    </w:p>
    <w:p w14:paraId="F7010000">
      <w:pPr>
        <w:ind w:firstLine="700" w:left="0"/>
        <w:jc w:val="both"/>
        <w:rPr>
          <w:sz w:val="28"/>
        </w:rPr>
      </w:pPr>
    </w:p>
    <w:p w14:paraId="F801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подходы в части </w:t>
      </w:r>
    </w:p>
    <w:p w14:paraId="F901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собственных (налоговых и неналоговых) доходов</w:t>
      </w:r>
    </w:p>
    <w:p w14:paraId="FA010000">
      <w:pPr>
        <w:ind w:firstLine="709" w:left="0"/>
        <w:jc w:val="both"/>
        <w:rPr>
          <w:sz w:val="28"/>
        </w:rPr>
      </w:pPr>
    </w:p>
    <w:p w14:paraId="FB01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Прогнозирование на долгосрочн</w:t>
      </w:r>
      <w:r>
        <w:rPr>
          <w:sz w:val="28"/>
        </w:rPr>
        <w:t>ую перспективу осуществлялось в </w:t>
      </w:r>
      <w:r>
        <w:rPr>
          <w:sz w:val="28"/>
        </w:rPr>
        <w:t xml:space="preserve">условиях позитивных тенденций, сложившихся в предыдущие годы, с учетом роста индекса промышленного производства, валового регионального </w:t>
      </w:r>
      <w:r>
        <w:rPr>
          <w:spacing w:val="-2"/>
          <w:sz w:val="28"/>
        </w:rPr>
        <w:t xml:space="preserve">продукта, </w:t>
      </w:r>
      <w:r>
        <w:rPr>
          <w:sz w:val="28"/>
        </w:rPr>
        <w:t>прибыли прибыльных предприятий, фонда среднемесячной номинальной начисленной заработной платы.</w:t>
      </w:r>
    </w:p>
    <w:p w14:paraId="FC01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Налоговые и неналоговые доходы бюджета сельского поселения 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 – экономического развития </w:t>
      </w:r>
      <w:r>
        <w:rPr>
          <w:color w:themeColor="text1" w:val="000000"/>
          <w:sz w:val="28"/>
        </w:rPr>
        <w:t>К</w:t>
      </w:r>
      <w:r>
        <w:rPr>
          <w:color w:themeColor="text1" w:val="000000"/>
          <w:sz w:val="28"/>
        </w:rPr>
        <w:t>ринично-Лугского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 xml:space="preserve">на период до 2036 года. </w:t>
      </w:r>
    </w:p>
    <w:p w14:paraId="FD010000">
      <w:pPr>
        <w:ind w:firstLine="709" w:left="0"/>
        <w:jc w:val="both"/>
        <w:rPr>
          <w:color w:themeColor="text1" w:val="000000"/>
        </w:rPr>
      </w:pPr>
      <w:r>
        <w:rPr>
          <w:color w:themeColor="text1" w:val="000000"/>
          <w:sz w:val="28"/>
        </w:rPr>
        <w:t>При прогнозировании собственных налоговых и неналоговых доходов учтены тенденции, сложившиеся в предыдущие годы.</w:t>
      </w:r>
    </w:p>
    <w:p w14:paraId="FE010000">
      <w:pPr>
        <w:widowControl w:val="0"/>
        <w:spacing w:line="228" w:lineRule="auto"/>
        <w:ind/>
        <w:jc w:val="center"/>
        <w:rPr>
          <w:sz w:val="28"/>
        </w:rPr>
      </w:pPr>
    </w:p>
    <w:p w14:paraId="FF010000">
      <w:pPr>
        <w:widowControl w:val="0"/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Основные подходы в части </w:t>
      </w:r>
      <w:r>
        <w:rPr>
          <w:sz w:val="28"/>
        </w:rPr>
        <w:t>региональной</w:t>
      </w:r>
      <w:r>
        <w:rPr>
          <w:sz w:val="28"/>
        </w:rPr>
        <w:t xml:space="preserve"> финансовой помощи</w:t>
      </w:r>
    </w:p>
    <w:p w14:paraId="00020000">
      <w:pPr>
        <w:widowControl w:val="0"/>
        <w:spacing w:line="228" w:lineRule="auto"/>
        <w:ind/>
        <w:jc w:val="both"/>
        <w:rPr>
          <w:sz w:val="28"/>
        </w:rPr>
      </w:pPr>
    </w:p>
    <w:p w14:paraId="0102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Проводимая на </w:t>
      </w:r>
      <w:r>
        <w:rPr>
          <w:sz w:val="28"/>
        </w:rPr>
        <w:t>региональном</w:t>
      </w:r>
      <w:r>
        <w:rPr>
          <w:sz w:val="28"/>
        </w:rPr>
        <w:t xml:space="preserve"> уровне политика в области межбюджетных отношений направлена на повышение финансовой самостоятельности и ответственности органов </w:t>
      </w:r>
      <w:r>
        <w:rPr>
          <w:sz w:val="28"/>
        </w:rPr>
        <w:t>местного самоуправления</w:t>
      </w:r>
      <w:r>
        <w:rPr>
          <w:sz w:val="28"/>
        </w:rPr>
        <w:t xml:space="preserve">. </w:t>
      </w:r>
    </w:p>
    <w:p w14:paraId="02020000">
      <w:pPr>
        <w:widowControl w:val="0"/>
        <w:tabs>
          <w:tab w:leader="none" w:pos="3261" w:val="left"/>
        </w:tabs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Дотационность</w:t>
      </w:r>
      <w:r>
        <w:rPr>
          <w:sz w:val="28"/>
        </w:rPr>
        <w:t xml:space="preserve"> бюджета </w:t>
      </w:r>
      <w:r>
        <w:rPr>
          <w:sz w:val="28"/>
        </w:rPr>
        <w:t xml:space="preserve">поселения </w:t>
      </w:r>
      <w:r>
        <w:rPr>
          <w:sz w:val="28"/>
        </w:rPr>
        <w:t xml:space="preserve">напрямую зависит от роста поступлений налоговых и неналоговых доходов. </w:t>
      </w:r>
    </w:p>
    <w:p w14:paraId="03020000">
      <w:pPr>
        <w:widowControl w:val="0"/>
        <w:tabs>
          <w:tab w:leader="none" w:pos="3261" w:val="left"/>
        </w:tabs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Объем безвозмездных поступлений спрогнозирован в 20</w:t>
      </w:r>
      <w:r>
        <w:rPr>
          <w:sz w:val="28"/>
        </w:rPr>
        <w:t>23</w:t>
      </w:r>
      <w:r>
        <w:rPr>
          <w:sz w:val="28"/>
        </w:rPr>
        <w:t>-20</w:t>
      </w:r>
      <w:r>
        <w:rPr>
          <w:sz w:val="28"/>
        </w:rPr>
        <w:t>36</w:t>
      </w:r>
      <w:r>
        <w:rPr>
          <w:sz w:val="28"/>
        </w:rPr>
        <w:t xml:space="preserve"> годах в соотве</w:t>
      </w:r>
      <w:r>
        <w:rPr>
          <w:sz w:val="28"/>
        </w:rPr>
        <w:t>тствии с первоначально принятым</w:t>
      </w:r>
      <w:r>
        <w:rPr>
          <w:sz w:val="28"/>
        </w:rPr>
        <w:t xml:space="preserve"> </w:t>
      </w:r>
      <w:r>
        <w:rPr>
          <w:sz w:val="28"/>
        </w:rPr>
        <w:t>решением</w:t>
      </w:r>
      <w:r>
        <w:rPr>
          <w:sz w:val="28"/>
        </w:rPr>
        <w:t xml:space="preserve"> Собрания депутатов </w:t>
      </w:r>
      <w:r>
        <w:rPr>
          <w:sz w:val="28"/>
        </w:rPr>
        <w:t>о бюджете</w:t>
      </w:r>
      <w:r>
        <w:rPr>
          <w:sz w:val="28"/>
        </w:rPr>
        <w:t xml:space="preserve"> поселения </w:t>
      </w:r>
      <w:r>
        <w:rPr>
          <w:sz w:val="28"/>
        </w:rPr>
        <w:t xml:space="preserve">на 2022 год и плановый период 2023 и 2024 годов </w:t>
      </w:r>
      <w:r>
        <w:rPr>
          <w:sz w:val="28"/>
        </w:rPr>
        <w:t>от 27.12.2021 № 24</w:t>
      </w:r>
      <w:r>
        <w:rPr>
          <w:sz w:val="28"/>
        </w:rPr>
        <w:t xml:space="preserve"> в </w:t>
      </w:r>
      <w:r>
        <w:rPr>
          <w:sz w:val="28"/>
        </w:rPr>
        <w:t>объеме</w:t>
      </w:r>
      <w:r>
        <w:rPr>
          <w:sz w:val="28"/>
        </w:rPr>
        <w:t xml:space="preserve"> утвержденном на 2023 год</w:t>
      </w:r>
      <w:r>
        <w:rPr>
          <w:sz w:val="28"/>
        </w:rPr>
        <w:t xml:space="preserve">. </w:t>
      </w:r>
    </w:p>
    <w:p w14:paraId="04020000">
      <w:pPr>
        <w:tabs>
          <w:tab w:leader="none" w:pos="0" w:val="left"/>
        </w:tabs>
        <w:ind w:firstLine="709" w:left="0"/>
        <w:jc w:val="both"/>
        <w:rPr>
          <w:sz w:val="28"/>
        </w:rPr>
      </w:pPr>
    </w:p>
    <w:p w14:paraId="0502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подходы в части расходов</w:t>
      </w:r>
    </w:p>
    <w:p w14:paraId="06020000">
      <w:pPr>
        <w:tabs>
          <w:tab w:leader="none" w:pos="0" w:val="left"/>
        </w:tabs>
        <w:ind w:firstLine="709" w:left="0"/>
        <w:jc w:val="both"/>
        <w:rPr>
          <w:sz w:val="28"/>
        </w:rPr>
      </w:pPr>
    </w:p>
    <w:p w14:paraId="0702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период 2023-2036 годов рассчитаны с учетом прогноза поступлений доходов.</w:t>
      </w:r>
    </w:p>
    <w:p w14:paraId="08020000">
      <w:pPr>
        <w:ind w:firstLine="709" w:left="0"/>
        <w:jc w:val="both"/>
        <w:rPr>
          <w:sz w:val="28"/>
        </w:rPr>
      </w:pPr>
      <w:r>
        <w:rPr>
          <w:sz w:val="28"/>
        </w:rPr>
        <w:t>На 2024 и 2025 годы учтены условно утвержденные расходы  в объеме 2,5 процента и 5,0 процентов от общего объема расходов бюджета сельского поселения, за исключением расходов, предусмотренных за счет целевых  средств из областного бюджета,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09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решением Собрания депутатов от 11.12.2020 № 244 </w:t>
      </w:r>
      <w:r>
        <w:rPr>
          <w:sz w:val="28"/>
        </w:rPr>
        <w:t>«</w:t>
      </w:r>
      <w:r>
        <w:rPr>
          <w:sz w:val="28"/>
        </w:rPr>
        <w:t>Об утверждении Положения о бюджетном процессе в муниципальном образовании</w:t>
      </w:r>
      <w:r>
        <w:rPr>
          <w:sz w:val="28"/>
        </w:rPr>
        <w:t xml:space="preserve">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</w:t>
      </w:r>
      <w:r>
        <w:rPr>
          <w:sz w:val="28"/>
        </w:rPr>
        <w:t>»</w:t>
      </w:r>
      <w:r>
        <w:rPr>
          <w:sz w:val="28"/>
        </w:rPr>
        <w:t xml:space="preserve"> бюджет поселения составляется на основе муниципальных программ. </w:t>
      </w:r>
    </w:p>
    <w:p w14:paraId="0A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Доля расходов бюджета поселения, формируемых в рамках муниципальных программ поселения, ежегодно планируется более 90 процентов в общем объеме расходов местного бюджета.</w:t>
      </w:r>
    </w:p>
    <w:p w14:paraId="0B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Основной объем сре</w:t>
      </w:r>
      <w:r>
        <w:rPr>
          <w:sz w:val="28"/>
        </w:rPr>
        <w:t>дств ск</w:t>
      </w:r>
      <w:r>
        <w:rPr>
          <w:sz w:val="28"/>
        </w:rPr>
        <w:t xml:space="preserve">онцентрирован на реализации муниципальных программ поселения, предусматривающих расходы на развитие культуры и спорта, социальную поддержку бывших муниципальных служащих. </w:t>
      </w:r>
    </w:p>
    <w:p w14:paraId="0C020000">
      <w:pPr>
        <w:ind w:firstLine="709" w:left="0"/>
        <w:jc w:val="both"/>
        <w:rPr>
          <w:sz w:val="28"/>
        </w:rPr>
      </w:pPr>
    </w:p>
    <w:p w14:paraId="0D020000">
      <w:pPr>
        <w:ind/>
        <w:jc w:val="center"/>
        <w:rPr>
          <w:sz w:val="28"/>
        </w:rPr>
      </w:pPr>
      <w:r>
        <w:rPr>
          <w:sz w:val="28"/>
        </w:rPr>
        <w:t>Основные подходы в части</w:t>
      </w:r>
    </w:p>
    <w:p w14:paraId="0E020000">
      <w:pPr>
        <w:ind/>
        <w:jc w:val="center"/>
        <w:rPr>
          <w:sz w:val="28"/>
        </w:rPr>
      </w:pPr>
      <w:r>
        <w:rPr>
          <w:sz w:val="28"/>
        </w:rPr>
        <w:t>межбюджетных отношений с местными бюджетами</w:t>
      </w:r>
    </w:p>
    <w:p w14:paraId="0F020000">
      <w:pPr>
        <w:ind/>
        <w:jc w:val="both"/>
        <w:rPr>
          <w:sz w:val="28"/>
        </w:rPr>
      </w:pPr>
    </w:p>
    <w:p w14:paraId="10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среднесрочной и долгосрочной перспективе межбюджетные отношения будут являться одними из приоритетных направлений бюджетной политики </w:t>
      </w:r>
      <w:r>
        <w:rPr>
          <w:sz w:val="28"/>
        </w:rPr>
        <w:t>поселения</w:t>
      </w:r>
      <w:r>
        <w:rPr>
          <w:sz w:val="28"/>
        </w:rPr>
        <w:t>, направленные на повышение финансовой самостоятельности местн</w:t>
      </w:r>
      <w:r>
        <w:rPr>
          <w:sz w:val="28"/>
        </w:rPr>
        <w:t xml:space="preserve">ого </w:t>
      </w:r>
      <w:r>
        <w:rPr>
          <w:sz w:val="28"/>
        </w:rPr>
        <w:t>бюджет</w:t>
      </w:r>
      <w:r>
        <w:rPr>
          <w:sz w:val="28"/>
        </w:rPr>
        <w:t>а</w:t>
      </w:r>
      <w:r>
        <w:rPr>
          <w:sz w:val="28"/>
        </w:rPr>
        <w:t>, оказание содействия в их сбалансированности, качественное управление муниципальными финансами.</w:t>
      </w:r>
    </w:p>
    <w:p w14:paraId="11020000">
      <w:pPr>
        <w:ind w:firstLine="709" w:left="0"/>
        <w:jc w:val="both"/>
        <w:rPr>
          <w:sz w:val="28"/>
        </w:rPr>
      </w:pPr>
      <w:r>
        <w:rPr>
          <w:sz w:val="28"/>
        </w:rPr>
        <w:t>Дотаци</w:t>
      </w:r>
      <w:r>
        <w:rPr>
          <w:sz w:val="28"/>
        </w:rPr>
        <w:t xml:space="preserve">и </w:t>
      </w:r>
      <w:r>
        <w:rPr>
          <w:sz w:val="28"/>
        </w:rPr>
        <w:t>на выравнивание бюджетной обеспеченности муниципальн</w:t>
      </w:r>
      <w:r>
        <w:rPr>
          <w:sz w:val="28"/>
        </w:rPr>
        <w:t xml:space="preserve">ого </w:t>
      </w:r>
      <w:r>
        <w:rPr>
          <w:sz w:val="28"/>
        </w:rPr>
        <w:t>образовани</w:t>
      </w:r>
      <w:r>
        <w:rPr>
          <w:sz w:val="28"/>
        </w:rPr>
        <w:t xml:space="preserve">я </w:t>
      </w:r>
      <w:r>
        <w:rPr>
          <w:sz w:val="28"/>
        </w:rPr>
        <w:t>будет отведена ведущая роль в системе межбюджетного регулирования. Для этого предполагается установлени</w:t>
      </w:r>
      <w:r>
        <w:rPr>
          <w:sz w:val="28"/>
        </w:rPr>
        <w:t>е</w:t>
      </w:r>
      <w:r>
        <w:rPr>
          <w:sz w:val="28"/>
        </w:rPr>
        <w:t xml:space="preserve"> дополнительных условий их выделения: отсутствие просроченной кредиторской задолженности, сокращение недоимки, ограничения по муниципальному долгу и дефициту местных бюджетов и других, направленных на эффективное формирование и исполнение бюджетов.</w:t>
      </w:r>
    </w:p>
    <w:p w14:paraId="12020000">
      <w:pPr>
        <w:ind w:firstLine="709" w:left="0"/>
        <w:jc w:val="both"/>
        <w:rPr>
          <w:sz w:val="28"/>
        </w:rPr>
      </w:pPr>
      <w:r>
        <w:rPr>
          <w:sz w:val="28"/>
        </w:rPr>
        <w:t>Особое внимание будет уделяться повышению эффективности расходования межбюджетных трансфертов местным бюджет</w:t>
      </w:r>
      <w:r>
        <w:rPr>
          <w:sz w:val="28"/>
        </w:rPr>
        <w:t>о</w:t>
      </w:r>
      <w:r>
        <w:rPr>
          <w:sz w:val="28"/>
        </w:rPr>
        <w:t>м, а также повышению ответственности при расходовании бюджетных средств.</w:t>
      </w:r>
    </w:p>
    <w:p w14:paraId="1302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Деятельности муниципального образования </w:t>
      </w:r>
      <w:r>
        <w:rPr>
          <w:sz w:val="28"/>
        </w:rPr>
        <w:t xml:space="preserve">будет </w:t>
      </w:r>
      <w:r>
        <w:rPr>
          <w:sz w:val="28"/>
        </w:rPr>
        <w:t xml:space="preserve">обеспечена поддержка </w:t>
      </w:r>
      <w:r>
        <w:rPr>
          <w:sz w:val="28"/>
        </w:rPr>
        <w:t xml:space="preserve">по бюджетно-финансовым вопросам, осуществлению постоянного </w:t>
      </w:r>
      <w:r>
        <w:rPr>
          <w:sz w:val="28"/>
        </w:rPr>
        <w:t>контроля за</w:t>
      </w:r>
      <w:r>
        <w:rPr>
          <w:sz w:val="28"/>
        </w:rPr>
        <w:t xml:space="preserve"> планированием и исполнением местн</w:t>
      </w:r>
      <w:r>
        <w:rPr>
          <w:sz w:val="28"/>
        </w:rPr>
        <w:t xml:space="preserve">ого </w:t>
      </w:r>
      <w:r>
        <w:rPr>
          <w:sz w:val="28"/>
        </w:rPr>
        <w:t>бюджет</w:t>
      </w:r>
      <w:r>
        <w:rPr>
          <w:sz w:val="28"/>
        </w:rPr>
        <w:t>а</w:t>
      </w:r>
      <w:r>
        <w:rPr>
          <w:sz w:val="28"/>
        </w:rPr>
        <w:t>.</w:t>
      </w:r>
    </w:p>
    <w:p w14:paraId="14020000">
      <w:pPr>
        <w:ind/>
        <w:jc w:val="center"/>
        <w:rPr>
          <w:sz w:val="28"/>
        </w:rPr>
      </w:pPr>
    </w:p>
    <w:p w14:paraId="15020000">
      <w:pPr>
        <w:ind/>
        <w:jc w:val="center"/>
        <w:rPr>
          <w:sz w:val="28"/>
        </w:rPr>
      </w:pPr>
      <w:r>
        <w:rPr>
          <w:sz w:val="28"/>
        </w:rPr>
        <w:t>Основные подходы к долговой политике</w:t>
      </w:r>
    </w:p>
    <w:p w14:paraId="16020000">
      <w:pPr>
        <w:ind/>
        <w:jc w:val="both"/>
        <w:rPr>
          <w:sz w:val="28"/>
        </w:rPr>
      </w:pPr>
    </w:p>
    <w:p w14:paraId="17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Основной целью долговой политики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на период до 203</w:t>
      </w:r>
      <w:r>
        <w:rPr>
          <w:sz w:val="28"/>
        </w:rPr>
        <w:t>6</w:t>
      </w:r>
      <w:r>
        <w:rPr>
          <w:sz w:val="28"/>
        </w:rPr>
        <w:t xml:space="preserve"> года будет являться </w:t>
      </w:r>
      <w:r>
        <w:rPr>
          <w:sz w:val="28"/>
        </w:rPr>
        <w:t>отсутствие муниципального</w:t>
      </w:r>
      <w:r>
        <w:rPr>
          <w:sz w:val="28"/>
        </w:rPr>
        <w:t xml:space="preserve"> долга и минимизация расходов на его обслуживание.</w:t>
      </w:r>
    </w:p>
    <w:p w14:paraId="18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период </w:t>
      </w:r>
      <w:r>
        <w:rPr>
          <w:sz w:val="28"/>
        </w:rPr>
        <w:t>20</w:t>
      </w:r>
      <w:r>
        <w:rPr>
          <w:sz w:val="28"/>
        </w:rPr>
        <w:t>23–</w:t>
      </w:r>
      <w:r>
        <w:rPr>
          <w:sz w:val="28"/>
        </w:rPr>
        <w:t>203</w:t>
      </w:r>
      <w:r>
        <w:rPr>
          <w:sz w:val="28"/>
        </w:rPr>
        <w:t>6</w:t>
      </w:r>
      <w:r>
        <w:rPr>
          <w:sz w:val="28"/>
        </w:rPr>
        <w:t xml:space="preserve"> год</w:t>
      </w:r>
      <w:r>
        <w:rPr>
          <w:sz w:val="28"/>
        </w:rPr>
        <w:t xml:space="preserve">ов </w:t>
      </w:r>
      <w:r>
        <w:rPr>
          <w:sz w:val="28"/>
        </w:rPr>
        <w:t xml:space="preserve">бюджет поселения </w:t>
      </w:r>
      <w:r>
        <w:rPr>
          <w:sz w:val="28"/>
        </w:rPr>
        <w:t xml:space="preserve">планируется у </w:t>
      </w:r>
      <w:r>
        <w:rPr>
          <w:sz w:val="28"/>
        </w:rPr>
        <w:t>прин</w:t>
      </w:r>
      <w:r>
        <w:rPr>
          <w:sz w:val="28"/>
        </w:rPr>
        <w:t xml:space="preserve">ятию </w:t>
      </w:r>
      <w:r>
        <w:rPr>
          <w:sz w:val="28"/>
        </w:rPr>
        <w:t>сбалансированн</w:t>
      </w:r>
      <w:r>
        <w:rPr>
          <w:sz w:val="28"/>
        </w:rPr>
        <w:t>ым.</w:t>
      </w:r>
    </w:p>
    <w:p w14:paraId="19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Муниципальная </w:t>
      </w:r>
      <w:r>
        <w:rPr>
          <w:sz w:val="28"/>
        </w:rPr>
        <w:t xml:space="preserve">долговая политика будет направлена </w:t>
      </w:r>
      <w:r>
        <w:rPr>
          <w:sz w:val="28"/>
        </w:rPr>
        <w:t xml:space="preserve">на </w:t>
      </w:r>
      <w:r>
        <w:rPr>
          <w:sz w:val="28"/>
        </w:rPr>
        <w:t xml:space="preserve">сохранение </w:t>
      </w:r>
      <w:r>
        <w:rPr>
          <w:sz w:val="28"/>
        </w:rPr>
        <w:t xml:space="preserve">отсутствия муниципального </w:t>
      </w:r>
      <w:r>
        <w:rPr>
          <w:sz w:val="28"/>
        </w:rPr>
        <w:t xml:space="preserve">долга, при этом должна быть обеспечена способность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осуществлять заимствования в объемах, необходимых для решения поставленных социально-экономических задач, на комфортных для нее условиях.</w:t>
      </w:r>
    </w:p>
    <w:p w14:paraId="1A020000">
      <w:pPr>
        <w:rPr>
          <w:sz w:val="28"/>
        </w:rPr>
      </w:pPr>
    </w:p>
    <w:p w14:paraId="1B020000">
      <w:pPr>
        <w:ind w:firstLine="709" w:left="0"/>
        <w:jc w:val="both"/>
        <w:rPr>
          <w:sz w:val="28"/>
        </w:rPr>
      </w:pPr>
    </w:p>
    <w:sectPr>
      <w:footerReference r:id="rId1" w:type="default"/>
      <w:pgSz w:h="16840" w:orient="portrait" w:w="11907"/>
      <w:pgMar w:bottom="709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8"/>
      </w:pPr>
    </w:lvl>
    <w:lvl w:ilvl="1">
      <w:start w:val="1"/>
      <w:numFmt w:val="lowerLetter"/>
      <w:lvlText w:val="%2."/>
      <w:lvlJc w:val="left"/>
      <w:pPr>
        <w:ind w:hanging="360" w:left="1648"/>
      </w:pPr>
    </w:lvl>
    <w:lvl w:ilvl="2">
      <w:start w:val="1"/>
      <w:numFmt w:val="lowerRoman"/>
      <w:lvlText w:val="%3."/>
      <w:lvlJc w:val="right"/>
      <w:pPr>
        <w:ind w:hanging="180" w:left="2368"/>
      </w:pPr>
    </w:lvl>
    <w:lvl w:ilvl="3">
      <w:start w:val="1"/>
      <w:numFmt w:val="decimal"/>
      <w:lvlText w:val="%4."/>
      <w:lvlJc w:val="left"/>
      <w:pPr>
        <w:ind w:hanging="360" w:left="3088"/>
      </w:pPr>
    </w:lvl>
    <w:lvl w:ilvl="4">
      <w:start w:val="1"/>
      <w:numFmt w:val="lowerLetter"/>
      <w:lvlText w:val="%5."/>
      <w:lvlJc w:val="left"/>
      <w:pPr>
        <w:ind w:hanging="360" w:left="3808"/>
      </w:pPr>
    </w:lvl>
    <w:lvl w:ilvl="5">
      <w:start w:val="1"/>
      <w:numFmt w:val="lowerRoman"/>
      <w:lvlText w:val="%6."/>
      <w:lvlJc w:val="right"/>
      <w:pPr>
        <w:ind w:hanging="180" w:left="4528"/>
      </w:pPr>
    </w:lvl>
    <w:lvl w:ilvl="6">
      <w:start w:val="1"/>
      <w:numFmt w:val="decimal"/>
      <w:lvlText w:val="%7."/>
      <w:lvlJc w:val="left"/>
      <w:pPr>
        <w:ind w:hanging="360" w:left="5248"/>
      </w:pPr>
    </w:lvl>
    <w:lvl w:ilvl="7">
      <w:start w:val="1"/>
      <w:numFmt w:val="lowerLetter"/>
      <w:lvlText w:val="%8."/>
      <w:lvlJc w:val="left"/>
      <w:pPr>
        <w:ind w:hanging="360" w:left="5968"/>
      </w:pPr>
    </w:lvl>
    <w:lvl w:ilvl="8">
      <w:start w:val="1"/>
      <w:numFmt w:val="lowerRoman"/>
      <w:lvlText w:val="%9."/>
      <w:lvlJc w:val="right"/>
      <w:pPr>
        <w:ind w:hanging="180" w:left="6688"/>
      </w:pPr>
    </w:lvl>
  </w:abstractNum>
  <w:abstractNum w:abstractNumId="1">
    <w:lvl w:ilvl="0">
      <w:start w:val="2"/>
      <w:numFmt w:val="decimal"/>
      <w:lvlText w:val="%1."/>
      <w:lvlJc w:val="left"/>
      <w:pPr>
        <w:tabs>
          <w:tab w:leader="none" w:pos="435" w:val="left"/>
        </w:tabs>
        <w:ind w:hanging="435" w:left="435"/>
      </w:pPr>
    </w:lvl>
    <w:lvl w:ilvl="1">
      <w:start w:val="2"/>
      <w:numFmt w:val="decimal"/>
      <w:lvlText w:val="%1.%2."/>
      <w:lvlJc w:val="left"/>
      <w:pPr>
        <w:tabs>
          <w:tab w:leader="none" w:pos="2700" w:val="left"/>
        </w:tabs>
        <w:ind w:hanging="720" w:left="2700"/>
      </w:pPr>
    </w:lvl>
    <w:lvl w:ilvl="2">
      <w:start w:val="1"/>
      <w:numFmt w:val="decimal"/>
      <w:lvlText w:val="%1.%2.%3."/>
      <w:lvlJc w:val="left"/>
      <w:pPr>
        <w:tabs>
          <w:tab w:leader="none" w:pos="4680" w:val="left"/>
        </w:tabs>
        <w:ind w:hanging="720" w:left="4680"/>
      </w:pPr>
    </w:lvl>
    <w:lvl w:ilvl="3">
      <w:start w:val="1"/>
      <w:numFmt w:val="decimal"/>
      <w:lvlText w:val="%1.%2.%3.%4."/>
      <w:lvlJc w:val="left"/>
      <w:pPr>
        <w:tabs>
          <w:tab w:leader="none" w:pos="7020" w:val="left"/>
        </w:tabs>
        <w:ind w:hanging="1080" w:left="7020"/>
      </w:pPr>
    </w:lvl>
    <w:lvl w:ilvl="4">
      <w:start w:val="1"/>
      <w:numFmt w:val="decimal"/>
      <w:lvlText w:val="%1.%2.%3.%4.%5."/>
      <w:lvlJc w:val="left"/>
      <w:pPr>
        <w:tabs>
          <w:tab w:leader="none" w:pos="9000" w:val="left"/>
        </w:tabs>
        <w:ind w:hanging="1080" w:left="9000"/>
      </w:pPr>
    </w:lvl>
    <w:lvl w:ilvl="5">
      <w:start w:val="1"/>
      <w:numFmt w:val="decimal"/>
      <w:lvlText w:val="%1.%2.%3.%4.%5.%6."/>
      <w:lvlJc w:val="left"/>
      <w:pPr>
        <w:tabs>
          <w:tab w:leader="none" w:pos="11340" w:val="left"/>
        </w:tabs>
        <w:ind w:hanging="1440" w:left="11340"/>
      </w:pPr>
    </w:lvl>
    <w:lvl w:ilvl="6">
      <w:start w:val="1"/>
      <w:numFmt w:val="decimal"/>
      <w:lvlText w:val="%1.%2.%3.%4.%5.%6.%7."/>
      <w:lvlJc w:val="left"/>
      <w:pPr>
        <w:tabs>
          <w:tab w:leader="none" w:pos="13680" w:val="left"/>
        </w:tabs>
        <w:ind w:hanging="1800" w:left="13680"/>
      </w:pPr>
    </w:lvl>
    <w:lvl w:ilvl="7">
      <w:start w:val="1"/>
      <w:numFmt w:val="decimal"/>
      <w:lvlText w:val="%1.%2.%3.%4.%5.%6.%7.%8."/>
      <w:lvlJc w:val="left"/>
      <w:pPr>
        <w:tabs>
          <w:tab w:leader="none" w:pos="15660" w:val="left"/>
        </w:tabs>
        <w:ind w:hanging="1800" w:left="15660"/>
      </w:pPr>
    </w:lvl>
    <w:lvl w:ilvl="8">
      <w:start w:val="1"/>
      <w:numFmt w:val="decimal"/>
      <w:lvlText w:val="%1.%2.%3.%4.%5.%6.%7.%8.%9."/>
      <w:lvlJc w:val="left"/>
      <w:pPr>
        <w:tabs>
          <w:tab w:leader="none" w:pos="18000" w:val="left"/>
        </w:tabs>
        <w:ind w:hanging="2160" w:left="180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0"/>
    </w:rPr>
  </w:style>
  <w:style w:default="1" w:styleId="Style_7_ch" w:type="character">
    <w:name w:val="Normal"/>
    <w:link w:val="Style_7"/>
    <w:rPr>
      <w:sz w:val="20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header"/>
    <w:basedOn w:val="Style_7"/>
    <w:link w:val="Style_9_ch"/>
    <w:pPr>
      <w:tabs>
        <w:tab w:leader="none" w:pos="4153" w:val="center"/>
        <w:tab w:leader="none" w:pos="8306" w:val="right"/>
      </w:tabs>
      <w:ind/>
    </w:pPr>
  </w:style>
  <w:style w:styleId="Style_9_ch" w:type="character">
    <w:name w:val="header"/>
    <w:basedOn w:val="Style_7_ch"/>
    <w:link w:val="Style_9"/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3" w:type="paragraph">
    <w:name w:val="Normal (Web)"/>
    <w:basedOn w:val="Style_7"/>
    <w:link w:val="Style_3_ch"/>
    <w:pPr>
      <w:spacing w:afterAutospacing="on" w:beforeAutospacing="on"/>
      <w:ind/>
    </w:pPr>
    <w:rPr>
      <w:sz w:val="24"/>
    </w:rPr>
  </w:style>
  <w:style w:styleId="Style_3_ch" w:type="character">
    <w:name w:val="Normal (Web)"/>
    <w:basedOn w:val="Style_7_ch"/>
    <w:link w:val="Style_3"/>
    <w:rPr>
      <w:sz w:val="24"/>
    </w:rPr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Postan"/>
    <w:basedOn w:val="Style_7"/>
    <w:link w:val="Style_15_ch"/>
    <w:pPr>
      <w:ind/>
      <w:jc w:val="center"/>
    </w:pPr>
    <w:rPr>
      <w:sz w:val="28"/>
    </w:rPr>
  </w:style>
  <w:style w:styleId="Style_15_ch" w:type="character">
    <w:name w:val="Postan"/>
    <w:basedOn w:val="Style_7_ch"/>
    <w:link w:val="Style_15"/>
    <w:rPr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" w:type="paragraph">
    <w:name w:val="Номер страницы1"/>
    <w:basedOn w:val="Style_7"/>
    <w:link w:val="Style_1_ch"/>
    <w:rPr>
      <w:sz w:val="22"/>
    </w:rPr>
  </w:style>
  <w:style w:styleId="Style_1_ch" w:type="character">
    <w:name w:val="Номер страницы1"/>
    <w:basedOn w:val="Style_7_ch"/>
    <w:link w:val="Style_1"/>
    <w:rPr>
      <w:sz w:val="22"/>
    </w:rPr>
  </w:style>
  <w:style w:styleId="Style_18" w:type="paragraph">
    <w:name w:val="heading 1"/>
    <w:basedOn w:val="Style_7"/>
    <w:next w:val="Style_7"/>
    <w:link w:val="Style_1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8_ch" w:type="character">
    <w:name w:val="heading 1"/>
    <w:basedOn w:val="Style_7_ch"/>
    <w:link w:val="Style_18"/>
    <w:rPr>
      <w:rFonts w:ascii="AG Souvenir" w:hAnsi="AG Souvenir"/>
      <w:b w:val="1"/>
      <w:spacing w:val="38"/>
      <w:sz w:val="28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  <w:sz w:val="20"/>
    </w:rPr>
  </w:style>
  <w:style w:styleId="Style_6_ch" w:type="character">
    <w:name w:val="ConsPlusNormal"/>
    <w:link w:val="Style_6"/>
    <w:rPr>
      <w:rFonts w:ascii="Arial" w:hAnsi="Arial"/>
      <w:sz w:val="20"/>
    </w:rPr>
  </w:style>
  <w:style w:styleId="Style_19" w:type="paragraph">
    <w:name w:val="Hyperlink"/>
    <w:basedOn w:val="Style_16"/>
    <w:link w:val="Style_19_ch"/>
    <w:rPr>
      <w:color w:val="0000FF"/>
      <w:u w:val="single"/>
    </w:rPr>
  </w:style>
  <w:style w:styleId="Style_19_ch" w:type="character">
    <w:name w:val="Hyperlink"/>
    <w:basedOn w:val="Style_16_ch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Balloon Text"/>
    <w:basedOn w:val="Style_7"/>
    <w:link w:val="Style_23_ch"/>
    <w:rPr>
      <w:rFonts w:ascii="Tahoma" w:hAnsi="Tahoma"/>
      <w:sz w:val="16"/>
    </w:rPr>
  </w:style>
  <w:style w:styleId="Style_23_ch" w:type="character">
    <w:name w:val="Balloon Text"/>
    <w:basedOn w:val="Style_7_ch"/>
    <w:link w:val="Style_23"/>
    <w:rPr>
      <w:rFonts w:ascii="Tahoma" w:hAnsi="Tahoma"/>
      <w:sz w:val="16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ConsTitle"/>
    <w:link w:val="Style_25_ch"/>
    <w:pPr>
      <w:widowControl w:val="0"/>
      <w:ind w:right="19772"/>
    </w:pPr>
    <w:rPr>
      <w:rFonts w:ascii="Arial" w:hAnsi="Arial"/>
      <w:b w:val="1"/>
      <w:sz w:val="16"/>
    </w:rPr>
  </w:style>
  <w:style w:styleId="Style_25_ch" w:type="character">
    <w:name w:val="ConsTitle"/>
    <w:link w:val="Style_25"/>
    <w:rPr>
      <w:rFonts w:ascii="Arial" w:hAnsi="Arial"/>
      <w:b w:val="1"/>
      <w:sz w:val="16"/>
    </w:rPr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7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ody Text Indent"/>
    <w:basedOn w:val="Style_7"/>
    <w:link w:val="Style_28_ch"/>
    <w:pPr>
      <w:ind w:firstLine="709" w:left="0"/>
      <w:jc w:val="both"/>
    </w:pPr>
  </w:style>
  <w:style w:styleId="Style_28_ch" w:type="character">
    <w:name w:val="Body Text Indent"/>
    <w:basedOn w:val="Style_7_ch"/>
    <w:link w:val="Style_28"/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29" w:type="paragraph">
    <w:name w:val="Subtitle"/>
    <w:next w:val="Style_7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7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7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basedOn w:val="Style_7"/>
    <w:next w:val="Style_7"/>
    <w:link w:val="Style_32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32_ch" w:type="character">
    <w:name w:val="heading 2"/>
    <w:basedOn w:val="Style_7_ch"/>
    <w:link w:val="Style_32"/>
    <w:rPr>
      <w:rFonts w:ascii="Cambria" w:hAnsi="Cambria"/>
      <w:b w:val="1"/>
      <w:i w:val="1"/>
      <w:sz w:val="28"/>
    </w:rPr>
  </w:style>
  <w:style w:styleId="Style_33" w:type="paragraph">
    <w:name w:val="Body Text"/>
    <w:basedOn w:val="Style_7"/>
    <w:link w:val="Style_33_ch"/>
  </w:style>
  <w:style w:styleId="Style_33_ch" w:type="character">
    <w:name w:val="Body Text"/>
    <w:basedOn w:val="Style_7_ch"/>
    <w:link w:val="Style_33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2023-02-21T13:16:48Z</dcterms:modified>
</cp:coreProperties>
</file>