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8000000">
      <w:pPr>
        <w:ind/>
        <w:jc w:val="center"/>
        <w:rPr>
          <w:sz w:val="28"/>
        </w:rPr>
      </w:pPr>
    </w:p>
    <w:p w14:paraId="09000000">
      <w:pPr>
        <w:tabs>
          <w:tab w:leader="none" w:pos="5670" w:val="left"/>
        </w:tabs>
        <w:ind/>
        <w:rPr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0A000000">
      <w:pPr>
        <w:ind/>
        <w:jc w:val="center"/>
        <w:rPr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73"/>
        <w:gridCol w:w="3473"/>
        <w:gridCol w:w="3085"/>
      </w:tblGrid>
      <w:tr>
        <w:trPr>
          <w:trHeight w:hRule="atLeast" w:val="358"/>
        </w:trPr>
        <w:tc>
          <w:tcPr>
            <w:tcW w:type="dxa" w:w="34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18.12.2023</w:t>
            </w:r>
          </w:p>
        </w:tc>
        <w:tc>
          <w:tcPr>
            <w:tcW w:type="dxa" w:w="34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30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136</w:t>
            </w:r>
          </w:p>
        </w:tc>
      </w:tr>
    </w:tbl>
    <w:p w14:paraId="0E000000">
      <w:pPr>
        <w:ind w:firstLine="900" w:left="0"/>
        <w:jc w:val="both"/>
        <w:rPr>
          <w:sz w:val="28"/>
        </w:rPr>
      </w:pPr>
    </w:p>
    <w:p w14:paraId="0F000000">
      <w:pPr>
        <w:ind w:firstLine="900" w:left="0"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поселения от 25.05.2016 № 153/8 «О методике и порядке планирования бюджетных ассигнований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района» </w:t>
      </w:r>
    </w:p>
    <w:p w14:paraId="10000000">
      <w:pPr>
        <w:ind w:firstLine="900" w:left="0"/>
        <w:jc w:val="both"/>
        <w:rPr>
          <w:sz w:val="28"/>
        </w:rPr>
      </w:pPr>
    </w:p>
    <w:p w14:paraId="11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приказом министерства финансов Ростовской области от 31.03.2016 № 26 (в редакции от 15.12.2023 № 355)  и в целях эффективного планирования бюджетных ассигнований на 2024 год и плановый период 2025 и 2026 годов ПОСТАНОВЛЯЮ: </w:t>
      </w:r>
    </w:p>
    <w:p w14:paraId="12000000">
      <w:pPr>
        <w:ind w:firstLine="900" w:left="0"/>
        <w:jc w:val="both"/>
        <w:rPr>
          <w:sz w:val="28"/>
        </w:rPr>
      </w:pPr>
    </w:p>
    <w:p w14:paraId="13000000">
      <w:pPr>
        <w:pStyle w:val="Style_2"/>
        <w:numPr>
          <w:ilvl w:val="0"/>
          <w:numId w:val="1"/>
        </w:numPr>
        <w:ind w:firstLine="795" w:left="0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от 25.05.2016 № 153/8 «О методике и порядке планирования бюджетных ассигнований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района» следующие изменения:</w:t>
      </w:r>
    </w:p>
    <w:p w14:paraId="14000000">
      <w:pPr>
        <w:ind w:firstLine="851" w:left="0"/>
        <w:jc w:val="both"/>
      </w:pPr>
      <w:r>
        <w:rPr>
          <w:sz w:val="28"/>
        </w:rPr>
        <w:t>1.1. Подпункт 2.2.2. Приложения № 1 к постановлению изложить в следующей редакции:</w:t>
      </w:r>
    </w:p>
    <w:p w14:paraId="15000000">
      <w:pPr>
        <w:ind w:firstLine="851" w:left="0"/>
        <w:jc w:val="both"/>
      </w:pPr>
      <w:r>
        <w:rPr>
          <w:sz w:val="28"/>
        </w:rPr>
        <w:t xml:space="preserve">«2.2.2. Уточнения расходов, подлежащих индексации, на прогнозный уровень инфляции (индекс роста потребительских цен) в 2024 году – 4,5 %, в 2025 году - 4%, в 26 году - 4%: </w:t>
      </w:r>
    </w:p>
    <w:p w14:paraId="16000000">
      <w:pPr>
        <w:widowControl w:val="1"/>
        <w:ind w:firstLine="709" w:left="0"/>
        <w:jc w:val="both"/>
      </w:pPr>
      <w:r>
        <w:rPr>
          <w:sz w:val="28"/>
        </w:rPr>
        <w:t xml:space="preserve">с 1 января публичных нормативных обязательств и иных обязательств, подлежащих индексации в соответствии с законодательством Ростовской области, нормативными правовыми актами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17000000">
      <w:pPr>
        <w:ind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с 1 октября расходов на оплату труда  </w:t>
      </w:r>
      <w:r>
        <w:rPr>
          <w:sz w:val="28"/>
        </w:rPr>
        <w:t xml:space="preserve">работников муниципальных учреждений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обслуживающего персонала и работников, осуществляющих техническое обеспечение деятельности органов местного самоуправления. </w:t>
      </w:r>
    </w:p>
    <w:p w14:paraId="18000000">
      <w:pPr>
        <w:widowControl w:val="1"/>
        <w:ind w:firstLine="709" w:left="0"/>
        <w:jc w:val="both"/>
      </w:pPr>
      <w:r>
        <w:rPr>
          <w:sz w:val="28"/>
        </w:rPr>
        <w:t xml:space="preserve">с 1 января затрат на приобретение материальных запасов, потребляемых (используемых) в процессе: </w:t>
      </w:r>
    </w:p>
    <w:p w14:paraId="19000000">
      <w:pPr>
        <w:widowControl w:val="1"/>
        <w:ind w:firstLine="709" w:left="0"/>
        <w:jc w:val="both"/>
      </w:pPr>
      <w:r>
        <w:rPr>
          <w:sz w:val="28"/>
        </w:rPr>
        <w:t>оказания муниципальных услуг (выполнения работ) в рамках финансового обеспечения муниципальных учреждений культуры поселения (включая субсидии на выполнение муниципального задания на оказание услуг (выполнение работ) и субсидии на иные цели).»</w:t>
      </w:r>
    </w:p>
    <w:p w14:paraId="1A000000">
      <w:pPr>
        <w:widowControl w:val="1"/>
        <w:ind w:firstLine="709" w:left="0"/>
        <w:jc w:val="both"/>
      </w:pPr>
      <w:r>
        <w:rPr>
          <w:sz w:val="28"/>
        </w:rPr>
        <w:t xml:space="preserve">1.2.  </w:t>
      </w:r>
      <w:r>
        <w:t xml:space="preserve">  </w:t>
      </w:r>
      <w:r>
        <w:rPr>
          <w:sz w:val="28"/>
        </w:rPr>
        <w:t>Подпункт 2.2.5. Приложения № 1 к постановлению изложить в следующей редакции:</w:t>
      </w:r>
    </w:p>
    <w:p w14:paraId="1B000000">
      <w:pPr>
        <w:widowControl w:val="1"/>
        <w:ind w:firstLine="709" w:left="0"/>
        <w:jc w:val="both"/>
      </w:pPr>
      <w:r>
        <w:t xml:space="preserve"> </w:t>
      </w:r>
      <w:r>
        <w:rPr>
          <w:sz w:val="28"/>
        </w:rPr>
        <w:t xml:space="preserve">«2.2.5. Ежегодного уточнения расходов на оплату труда: </w:t>
      </w:r>
    </w:p>
    <w:p w14:paraId="1C000000">
      <w:pPr>
        <w:spacing w:line="264" w:lineRule="auto"/>
        <w:ind/>
        <w:jc w:val="both"/>
      </w:pPr>
      <w:r>
        <w:rPr>
          <w:sz w:val="28"/>
        </w:rPr>
        <w:t xml:space="preserve">        в соответствии с Посланием Президента Российской Федерации Федеральному  Собранию от 21.02.2023 «Послание Президента Российской </w:t>
      </w:r>
      <w:r>
        <w:rPr>
          <w:sz w:val="28"/>
        </w:rPr>
        <w:t xml:space="preserve">Федерации  Федеральному  Собранию» минимальный </w:t>
      </w:r>
      <w:r>
        <w:rPr>
          <w:sz w:val="28"/>
        </w:rPr>
        <w:t>размер оплаты труда</w:t>
      </w:r>
      <w:r>
        <w:rPr>
          <w:sz w:val="28"/>
        </w:rPr>
        <w:t xml:space="preserve"> — 19242 рубля;</w:t>
      </w:r>
    </w:p>
    <w:p w14:paraId="1D000000">
      <w:pPr>
        <w:spacing w:line="264" w:lineRule="auto"/>
        <w:ind/>
        <w:jc w:val="both"/>
      </w:pPr>
      <w:r>
        <w:rPr>
          <w:sz w:val="28"/>
        </w:rPr>
        <w:tab/>
      </w:r>
      <w:r>
        <w:rPr>
          <w:sz w:val="28"/>
        </w:rPr>
        <w:t>в связи с увеличением с 1 января темпа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в 2024 году - 9,8%, 2025 году - 6,8%, 2026 году-6,4%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</w:t>
      </w:r>
      <w:r>
        <w:rPr>
          <w:sz w:val="28"/>
        </w:rPr>
        <w:t xml:space="preserve">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 (далее-программные указы Президента Российской Федерации) в целях сохранения соотношения средней заработной платы в соответствии с Указами.    </w:t>
      </w:r>
    </w:p>
    <w:p w14:paraId="1E000000">
      <w:pPr>
        <w:spacing w:line="264" w:lineRule="auto"/>
        <w:ind w:firstLine="850"/>
        <w:jc w:val="both"/>
      </w:pPr>
      <w:r>
        <w:rPr>
          <w:sz w:val="28"/>
        </w:rPr>
        <w:t>С учетом пропуска индексации в 2024 году на оплату труда лиц, замещающих муниципальных служащих поселения.»</w:t>
      </w:r>
    </w:p>
    <w:p w14:paraId="1F000000">
      <w:pPr>
        <w:ind w:firstLine="851" w:left="0"/>
        <w:jc w:val="both"/>
        <w:rPr>
          <w:sz w:val="28"/>
        </w:rPr>
      </w:pPr>
    </w:p>
    <w:p w14:paraId="20000000">
      <w:pPr>
        <w:pStyle w:val="Style_3"/>
        <w:ind w:firstLine="851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Постановление вступает в силу со дня его подписания.</w:t>
      </w:r>
    </w:p>
    <w:p w14:paraId="21000000">
      <w:pPr>
        <w:pStyle w:val="Style_2"/>
        <w:ind w:firstLine="851" w:left="0"/>
        <w:jc w:val="both"/>
        <w:rPr>
          <w:sz w:val="28"/>
        </w:rPr>
      </w:pPr>
      <w:r>
        <w:rPr>
          <w:sz w:val="28"/>
        </w:rPr>
        <w:t xml:space="preserve">3. 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постановления оставляю за собой.</w:t>
      </w:r>
    </w:p>
    <w:p w14:paraId="22000000">
      <w:pPr>
        <w:pStyle w:val="Style_2"/>
        <w:ind w:firstLine="851" w:left="0"/>
        <w:jc w:val="both"/>
        <w:rPr>
          <w:sz w:val="28"/>
        </w:rPr>
      </w:pPr>
    </w:p>
    <w:p w14:paraId="23000000">
      <w:pPr>
        <w:pStyle w:val="Style_2"/>
        <w:spacing w:after="0"/>
        <w:ind w:firstLine="0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4000000">
      <w:pPr>
        <w:pStyle w:val="Style_2"/>
        <w:spacing w:after="0"/>
        <w:ind w:firstLine="0" w:left="0"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Р.А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25000000">
      <w:pPr>
        <w:ind/>
        <w:jc w:val="both"/>
        <w:rPr>
          <w:sz w:val="24"/>
        </w:rPr>
      </w:pPr>
    </w:p>
    <w:p w14:paraId="26000000">
      <w:pPr>
        <w:ind/>
        <w:jc w:val="both"/>
        <w:rPr>
          <w:sz w:val="24"/>
        </w:rPr>
      </w:pPr>
    </w:p>
    <w:p w14:paraId="27000000">
      <w:pPr>
        <w:ind/>
        <w:jc w:val="both"/>
        <w:rPr>
          <w:sz w:val="24"/>
        </w:rPr>
      </w:pPr>
    </w:p>
    <w:p w14:paraId="28000000">
      <w:pPr>
        <w:ind/>
        <w:jc w:val="both"/>
        <w:rPr>
          <w:sz w:val="24"/>
        </w:rPr>
      </w:pPr>
      <w:r>
        <w:rPr>
          <w:sz w:val="24"/>
        </w:rPr>
        <w:t xml:space="preserve">Постановление вносит: Сектор экономики и финансов    </w:t>
      </w:r>
    </w:p>
    <w:p w14:paraId="29000000"/>
    <w:p w14:paraId="2A000000"/>
    <w:p w14:paraId="2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170" w:left="1965"/>
      </w:pPr>
    </w:lvl>
    <w:lvl w:ilvl="1">
      <w:start w:val="1"/>
      <w:numFmt w:val="decimal"/>
      <w:lvlText w:val="%1.%2."/>
      <w:lvlJc w:val="left"/>
      <w:pPr>
        <w:ind w:hanging="720" w:left="1515"/>
      </w:pPr>
    </w:lvl>
    <w:lvl w:ilvl="2">
      <w:start w:val="1"/>
      <w:numFmt w:val="decimal"/>
      <w:lvlText w:val="%1.%2.%3."/>
      <w:lvlJc w:val="left"/>
      <w:pPr>
        <w:ind w:hanging="720" w:left="1515"/>
      </w:pPr>
    </w:lvl>
    <w:lvl w:ilvl="3">
      <w:start w:val="1"/>
      <w:numFmt w:val="decimal"/>
      <w:lvlText w:val="%1.%2.%3.%4."/>
      <w:lvlJc w:val="left"/>
      <w:pPr>
        <w:ind w:hanging="1080" w:left="1875"/>
      </w:pPr>
    </w:lvl>
    <w:lvl w:ilvl="4">
      <w:start w:val="1"/>
      <w:numFmt w:val="decimal"/>
      <w:lvlText w:val="%1.%2.%3.%4.%5."/>
      <w:lvlJc w:val="left"/>
      <w:pPr>
        <w:ind w:hanging="1080" w:left="1875"/>
      </w:pPr>
    </w:lvl>
    <w:lvl w:ilvl="5">
      <w:start w:val="1"/>
      <w:numFmt w:val="decimal"/>
      <w:lvlText w:val="%1.%2.%3.%4.%5.%6."/>
      <w:lvlJc w:val="left"/>
      <w:pPr>
        <w:ind w:hanging="1440" w:left="2235"/>
      </w:pPr>
    </w:lvl>
    <w:lvl w:ilvl="6">
      <w:start w:val="1"/>
      <w:numFmt w:val="decimal"/>
      <w:lvlText w:val="%1.%2.%3.%4.%5.%6.%7."/>
      <w:lvlJc w:val="left"/>
      <w:pPr>
        <w:ind w:hanging="1800" w:left="2595"/>
      </w:pPr>
    </w:lvl>
    <w:lvl w:ilvl="7">
      <w:start w:val="1"/>
      <w:numFmt w:val="decimal"/>
      <w:lvlText w:val="%1.%2.%3.%4.%5.%6.%7.%8."/>
      <w:lvlJc w:val="left"/>
      <w:pPr>
        <w:ind w:hanging="1800" w:left="2595"/>
      </w:pPr>
    </w:lvl>
    <w:lvl w:ilvl="8">
      <w:start w:val="1"/>
      <w:numFmt w:val="decimal"/>
      <w:lvlText w:val="%1.%2.%3.%4.%5.%6.%7.%8.%9."/>
      <w:lvlJc w:val="left"/>
      <w:pPr>
        <w:ind w:hanging="2160" w:left="295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Гиперссылка2"/>
    <w:link w:val="Style_5_ch"/>
    <w:rPr>
      <w:color w:val="0000FF"/>
      <w:u w:val="single"/>
    </w:rPr>
  </w:style>
  <w:style w:styleId="Style_5_ch" w:type="character">
    <w:name w:val="Гиперссылка2"/>
    <w:link w:val="Style_5"/>
    <w:rPr>
      <w:color w:val="0000FF"/>
      <w:u w:val="single"/>
    </w:rPr>
  </w:style>
  <w:style w:styleId="Style_6" w:type="paragraph">
    <w:name w:val="ConsPlusNonformat"/>
    <w:link w:val="Style_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6_ch" w:type="character">
    <w:name w:val="ConsPlusNonformat"/>
    <w:link w:val="Style_6"/>
    <w:rPr>
      <w:rFonts w:ascii="Courier New" w:hAnsi="Courier New"/>
      <w:sz w:val="20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Body Text Indent"/>
    <w:basedOn w:val="Style_4"/>
    <w:link w:val="Style_2_ch"/>
    <w:pPr>
      <w:spacing w:after="120"/>
      <w:ind w:firstLine="0" w:left="283"/>
    </w:pPr>
  </w:style>
  <w:style w:styleId="Style_2_ch" w:type="character">
    <w:name w:val="Body Text Indent"/>
    <w:basedOn w:val="Style_4_ch"/>
    <w:link w:val="Style_2"/>
  </w:style>
  <w:style w:styleId="Style_11" w:type="paragraph">
    <w:name w:val="Таблицы (моноширинный)"/>
    <w:basedOn w:val="Style_4"/>
    <w:next w:val="Style_4"/>
    <w:link w:val="Style_11_ch"/>
    <w:rPr>
      <w:rFonts w:ascii="Courier New" w:hAnsi="Courier New"/>
      <w:sz w:val="24"/>
    </w:rPr>
  </w:style>
  <w:style w:styleId="Style_11_ch" w:type="character">
    <w:name w:val="Таблицы (моноширинный)"/>
    <w:basedOn w:val="Style_4_ch"/>
    <w:link w:val="Style_11"/>
    <w:rPr>
      <w:rFonts w:ascii="Courier New" w:hAnsi="Courier New"/>
      <w:sz w:val="24"/>
    </w:rPr>
  </w:style>
  <w:style w:styleId="Style_12" w:type="paragraph">
    <w:name w:val="Нормальный (таблица)"/>
    <w:basedOn w:val="Style_4"/>
    <w:next w:val="Style_4"/>
    <w:link w:val="Style_12_ch"/>
    <w:pPr>
      <w:ind/>
      <w:jc w:val="both"/>
    </w:pPr>
    <w:rPr>
      <w:rFonts w:ascii="Times New Roman CYR" w:hAnsi="Times New Roman CYR"/>
      <w:sz w:val="24"/>
    </w:rPr>
  </w:style>
  <w:style w:styleId="Style_12_ch" w:type="character">
    <w:name w:val="Нормальный (таблица)"/>
    <w:basedOn w:val="Style_4_ch"/>
    <w:link w:val="Style_12"/>
    <w:rPr>
      <w:rFonts w:ascii="Times New Roman CYR" w:hAnsi="Times New Roman CYR"/>
      <w:sz w:val="24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Цветовое выделение"/>
    <w:link w:val="Style_14_ch"/>
    <w:rPr>
      <w:b w:val="1"/>
      <w:color w:val="26282F"/>
    </w:rPr>
  </w:style>
  <w:style w:styleId="Style_14_ch" w:type="character">
    <w:name w:val="Цветовое выделение"/>
    <w:link w:val="Style_14"/>
    <w:rPr>
      <w:b w:val="1"/>
      <w:color w:val="26282F"/>
    </w:rPr>
  </w:style>
  <w:style w:styleId="Style_15" w:type="paragraph">
    <w:name w:val="List Paragraph"/>
    <w:basedOn w:val="Style_4"/>
    <w:link w:val="Style_15_ch"/>
    <w:pPr>
      <w:ind w:firstLine="0" w:left="720"/>
      <w:contextualSpacing w:val="1"/>
    </w:pPr>
  </w:style>
  <w:style w:styleId="Style_15_ch" w:type="character">
    <w:name w:val="List Paragraph"/>
    <w:basedOn w:val="Style_4_ch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бычный1"/>
    <w:link w:val="Style_20_ch"/>
    <w:rPr>
      <w:rFonts w:ascii="Times New Roman" w:hAnsi="Times New Roman"/>
      <w:sz w:val="20"/>
    </w:rPr>
  </w:style>
  <w:style w:styleId="Style_20_ch" w:type="character">
    <w:name w:val="Обычный1"/>
    <w:link w:val="Style_20"/>
    <w:rPr>
      <w:rFonts w:ascii="Times New Roman" w:hAnsi="Times New Roman"/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Прижатый влево"/>
    <w:basedOn w:val="Style_4"/>
    <w:next w:val="Style_4"/>
    <w:link w:val="Style_23_ch"/>
    <w:rPr>
      <w:rFonts w:ascii="Times New Roman CYR" w:hAnsi="Times New Roman CYR"/>
      <w:sz w:val="24"/>
    </w:rPr>
  </w:style>
  <w:style w:styleId="Style_23_ch" w:type="character">
    <w:name w:val="Прижатый влево"/>
    <w:basedOn w:val="Style_4_ch"/>
    <w:link w:val="Style_23"/>
    <w:rPr>
      <w:rFonts w:ascii="Times New Roman CYR" w:hAnsi="Times New Roman CYR"/>
      <w:sz w:val="24"/>
    </w:rPr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Обычный1"/>
    <w:link w:val="Style_25_ch"/>
    <w:rPr>
      <w:rFonts w:ascii="Times New Roman" w:hAnsi="Times New Roman"/>
      <w:sz w:val="20"/>
    </w:rPr>
  </w:style>
  <w:style w:styleId="Style_25_ch" w:type="character">
    <w:name w:val="Обычный1"/>
    <w:link w:val="Style_25"/>
    <w:rPr>
      <w:rFonts w:ascii="Times New Roman" w:hAnsi="Times New Roman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4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Обычный1"/>
    <w:link w:val="Style_34_ch"/>
    <w:rPr>
      <w:rFonts w:ascii="Times New Roman" w:hAnsi="Times New Roman"/>
      <w:sz w:val="20"/>
    </w:rPr>
  </w:style>
  <w:style w:styleId="Style_34_ch" w:type="character">
    <w:name w:val="Обычный1"/>
    <w:link w:val="Style_34"/>
    <w:rPr>
      <w:rFonts w:ascii="Times New Roman" w:hAnsi="Times New Roman"/>
      <w:sz w:val="20"/>
    </w:rPr>
  </w:style>
  <w:style w:styleId="Style_35" w:type="paragraph">
    <w:name w:val="toc 5"/>
    <w:next w:val="Style_4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" w:type="paragraph">
    <w:name w:val="ConsTitle"/>
    <w:link w:val="Style_3_ch"/>
    <w:pPr>
      <w:widowControl w:val="0"/>
      <w:spacing w:after="0" w:line="240" w:lineRule="auto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36" w:type="paragraph">
    <w:name w:val="Знак Знак2 Знак Знак Знак Знак"/>
    <w:basedOn w:val="Style_4"/>
    <w:link w:val="Style_36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6_ch" w:type="character">
    <w:name w:val="Знак Знак2 Знак Знак Знак Знак"/>
    <w:basedOn w:val="Style_4_ch"/>
    <w:link w:val="Style_36"/>
    <w:rPr>
      <w:rFonts w:ascii="Tahoma" w:hAnsi="Tahoma"/>
    </w:rPr>
  </w:style>
  <w:style w:styleId="Style_37" w:type="paragraph">
    <w:name w:val="Subtitle"/>
    <w:next w:val="Style_4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4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2023-12-20T09:15:09Z</dcterms:modified>
</cp:coreProperties>
</file>