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 xml:space="preserve">                               </w:t>
      </w:r>
    </w:p>
    <w:p w14:paraId="0D000000">
      <w:pPr>
        <w:tabs>
          <w:tab w:leader="none" w:pos="6949" w:val="left"/>
        </w:tabs>
        <w:ind/>
        <w:rPr>
          <w:sz w:val="28"/>
        </w:rPr>
      </w:pPr>
    </w:p>
    <w:p w14:paraId="0E000000">
      <w:pPr>
        <w:tabs>
          <w:tab w:leader="none" w:pos="6949" w:val="left"/>
        </w:tabs>
        <w:ind/>
        <w:rPr>
          <w:sz w:val="28"/>
        </w:rPr>
      </w:pPr>
      <w:r>
        <w:rPr>
          <w:sz w:val="28"/>
        </w:rPr>
        <w:t>00.02</w:t>
      </w:r>
      <w:r>
        <w:rPr>
          <w:sz w:val="28"/>
        </w:rPr>
        <w:t xml:space="preserve">.2023                              </w:t>
      </w:r>
      <w:r>
        <w:rPr>
          <w:sz w:val="28"/>
        </w:rPr>
        <w:t>х</w:t>
      </w:r>
      <w:r>
        <w:rPr>
          <w:sz w:val="28"/>
        </w:rPr>
        <w:t>.К</w:t>
      </w:r>
      <w:r>
        <w:rPr>
          <w:sz w:val="28"/>
        </w:rPr>
        <w:t>ринично-Лугский</w:t>
      </w:r>
      <w:r>
        <w:rPr>
          <w:sz w:val="28"/>
        </w:rPr>
        <w:t xml:space="preserve">                                    № проект</w:t>
      </w:r>
      <w:r>
        <w:rPr>
          <w:sz w:val="28"/>
        </w:rPr>
        <w:t xml:space="preserve">                       </w:t>
      </w:r>
    </w:p>
    <w:p w14:paraId="0F000000">
      <w:pPr>
        <w:ind/>
        <w:jc w:val="center"/>
        <w:rPr>
          <w:b w:val="1"/>
          <w:spacing w:val="30"/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от 20.09.2022 № 99 «</w:t>
      </w:r>
      <w:r>
        <w:rPr>
          <w:sz w:val="28"/>
        </w:rPr>
        <w:t>Об утверждении б</w:t>
      </w:r>
      <w:r>
        <w:rPr>
          <w:sz w:val="28"/>
        </w:rPr>
        <w:t>юджетн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1000000">
      <w:pPr>
        <w:ind w:firstLine="709" w:left="0"/>
        <w:jc w:val="both"/>
        <w:rPr>
          <w:b w:val="1"/>
          <w:sz w:val="28"/>
        </w:rPr>
      </w:pPr>
    </w:p>
    <w:p w14:paraId="12000000">
      <w:pPr>
        <w:ind w:firstLine="851" w:left="0" w:right="-2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</w:t>
      </w:r>
      <w:r>
        <w:rPr>
          <w:spacing w:val="-2"/>
          <w:sz w:val="28"/>
        </w:rPr>
        <w:t xml:space="preserve">с </w:t>
      </w:r>
      <w:r>
        <w:rPr>
          <w:spacing w:val="-2"/>
          <w:sz w:val="28"/>
        </w:rPr>
        <w:t>постановлением Правительства Ростовской области от 29.08.2022 № 724 «Об утверждении бюджетного прогноза Ростовской обла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ти на период 2023-2036 годов»</w:t>
      </w:r>
      <w:r>
        <w:rPr>
          <w:spacing w:val="-2"/>
          <w:sz w:val="28"/>
        </w:rPr>
        <w:t xml:space="preserve"> (в редакции </w:t>
      </w:r>
      <w:r>
        <w:rPr>
          <w:spacing w:val="-2"/>
          <w:sz w:val="28"/>
        </w:rPr>
        <w:t>)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ОСТАНОВЛЯЮ:</w:t>
      </w:r>
    </w:p>
    <w:p w14:paraId="13000000">
      <w:pPr>
        <w:ind w:firstLine="709" w:left="0"/>
        <w:jc w:val="center"/>
        <w:rPr>
          <w:b w:val="1"/>
          <w:spacing w:val="-2"/>
          <w:sz w:val="28"/>
        </w:rPr>
      </w:pPr>
    </w:p>
    <w:p w14:paraId="14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изменения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20.09.2022 № 99 «Об у</w:t>
      </w:r>
      <w:r>
        <w:rPr>
          <w:sz w:val="28"/>
        </w:rPr>
        <w:t>твер</w:t>
      </w:r>
      <w:r>
        <w:rPr>
          <w:sz w:val="28"/>
        </w:rPr>
        <w:t>ждении бюд</w:t>
      </w:r>
      <w:r>
        <w:rPr>
          <w:sz w:val="28"/>
        </w:rPr>
        <w:t>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>изменение, изложив приложение к нему в редакции согласно приложению к настоящему постановлению</w:t>
      </w:r>
      <w:r>
        <w:rPr>
          <w:sz w:val="28"/>
        </w:rPr>
        <w:t>.</w:t>
      </w:r>
    </w:p>
    <w:p w14:paraId="15000000">
      <w:pPr>
        <w:ind w:firstLine="900" w:left="0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>2. О</w:t>
      </w:r>
      <w:r>
        <w:rPr>
          <w:color w:val="000000"/>
          <w:spacing w:val="-5"/>
          <w:sz w:val="28"/>
        </w:rPr>
        <w:t xml:space="preserve">публиковать настоящее постановление в информационном бюллетене </w:t>
      </w:r>
      <w:r>
        <w:rPr>
          <w:sz w:val="28"/>
        </w:rPr>
        <w:t>Кринично-Лугского</w:t>
      </w:r>
      <w:r>
        <w:rPr>
          <w:color w:val="000000"/>
          <w:spacing w:val="-5"/>
          <w:sz w:val="28"/>
        </w:rPr>
        <w:t xml:space="preserve"> сельского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color w:val="000000"/>
          <w:spacing w:val="-5"/>
          <w:sz w:val="28"/>
        </w:rPr>
        <w:t xml:space="preserve"> сельского поселения в сети Интернет.</w:t>
      </w:r>
    </w:p>
    <w:p w14:paraId="16000000">
      <w:pPr>
        <w:pStyle w:val="Style_3"/>
        <w:spacing w:after="0" w:before="0"/>
        <w:ind w:firstLine="90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7000000">
      <w:pPr>
        <w:ind w:firstLine="900" w:left="0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2"/>
          <w:sz w:val="28"/>
        </w:rPr>
        <w:t xml:space="preserve"> выполнением</w:t>
      </w:r>
      <w:r>
        <w:rPr>
          <w:spacing w:val="-2"/>
          <w:sz w:val="28"/>
        </w:rPr>
        <w:t xml:space="preserve"> настоящего </w:t>
      </w:r>
      <w:r>
        <w:rPr>
          <w:spacing w:val="-2"/>
          <w:sz w:val="28"/>
        </w:rPr>
        <w:t xml:space="preserve">постановления возложить на </w:t>
      </w:r>
      <w:r>
        <w:rPr>
          <w:spacing w:val="-2"/>
          <w:sz w:val="28"/>
        </w:rPr>
        <w:t>заведующего</w:t>
      </w:r>
      <w:r>
        <w:rPr>
          <w:spacing w:val="-2"/>
          <w:sz w:val="28"/>
        </w:rPr>
        <w:t xml:space="preserve"> сектор</w:t>
      </w:r>
      <w:r>
        <w:rPr>
          <w:spacing w:val="-2"/>
          <w:sz w:val="28"/>
        </w:rPr>
        <w:t>ом</w:t>
      </w:r>
      <w:r>
        <w:rPr>
          <w:spacing w:val="-2"/>
          <w:sz w:val="28"/>
        </w:rPr>
        <w:t xml:space="preserve"> экономики и финансов </w:t>
      </w:r>
      <w:r>
        <w:rPr>
          <w:spacing w:val="-2"/>
          <w:sz w:val="28"/>
        </w:rPr>
        <w:t xml:space="preserve">Билую М.Н. 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1D000000">
      <w:pPr>
        <w:widowControl w:val="0"/>
        <w:ind/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14:paraId="1E000000">
      <w:pPr>
        <w:widowControl w:val="0"/>
        <w:ind/>
        <w:jc w:val="both"/>
        <w:rPr>
          <w:sz w:val="24"/>
        </w:rPr>
      </w:pPr>
    </w:p>
    <w:p w14:paraId="1F000000">
      <w:pPr>
        <w:widowControl w:val="0"/>
        <w:ind/>
        <w:jc w:val="both"/>
        <w:rPr>
          <w:sz w:val="24"/>
        </w:rPr>
      </w:pPr>
    </w:p>
    <w:p w14:paraId="20000000">
      <w:pPr>
        <w:widowControl w:val="0"/>
        <w:ind/>
        <w:jc w:val="both"/>
        <w:rPr>
          <w:sz w:val="24"/>
        </w:rPr>
      </w:pPr>
    </w:p>
    <w:p w14:paraId="21000000">
      <w:pPr>
        <w:widowControl w:val="0"/>
        <w:ind/>
        <w:jc w:val="both"/>
        <w:rPr>
          <w:sz w:val="24"/>
        </w:rPr>
      </w:pPr>
    </w:p>
    <w:p w14:paraId="22000000">
      <w:pPr>
        <w:widowControl w:val="0"/>
        <w:ind/>
        <w:jc w:val="both"/>
        <w:rPr>
          <w:sz w:val="24"/>
        </w:rPr>
      </w:pPr>
    </w:p>
    <w:p w14:paraId="23000000">
      <w:pPr>
        <w:widowControl w:val="0"/>
        <w:ind/>
        <w:jc w:val="both"/>
        <w:rPr>
          <w:sz w:val="24"/>
        </w:rPr>
      </w:pPr>
    </w:p>
    <w:p w14:paraId="24000000">
      <w:pPr>
        <w:widowControl w:val="0"/>
        <w:ind/>
        <w:jc w:val="both"/>
        <w:rPr>
          <w:sz w:val="24"/>
        </w:rPr>
      </w:pPr>
    </w:p>
    <w:p w14:paraId="25000000">
      <w:pPr>
        <w:widowControl w:val="0"/>
        <w:ind/>
        <w:jc w:val="both"/>
        <w:rPr>
          <w:sz w:val="24"/>
        </w:rPr>
      </w:pPr>
    </w:p>
    <w:p w14:paraId="26000000">
      <w:pPr>
        <w:widowControl w:val="0"/>
        <w:ind/>
        <w:jc w:val="both"/>
        <w:rPr>
          <w:sz w:val="24"/>
        </w:rPr>
      </w:pPr>
    </w:p>
    <w:p w14:paraId="27000000">
      <w:pPr>
        <w:widowControl w:val="0"/>
        <w:ind w:firstLine="0" w:left="450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widowControl w:val="0"/>
        <w:ind w:firstLine="0" w:left="2836"/>
        <w:jc w:val="right"/>
        <w:rPr>
          <w:sz w:val="24"/>
        </w:rPr>
      </w:pPr>
      <w:r>
        <w:rPr>
          <w:sz w:val="24"/>
        </w:rPr>
        <w:t xml:space="preserve">                           к постановлению Администрации</w:t>
      </w:r>
    </w:p>
    <w:p w14:paraId="29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</w:t>
      </w:r>
    </w:p>
    <w:p w14:paraId="2A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от 00.02</w:t>
      </w:r>
      <w:r>
        <w:rPr>
          <w:sz w:val="24"/>
        </w:rPr>
        <w:t xml:space="preserve">.2023  № </w:t>
      </w:r>
    </w:p>
    <w:p w14:paraId="2B000000">
      <w:pPr>
        <w:widowControl w:val="0"/>
        <w:ind/>
        <w:jc w:val="right"/>
        <w:rPr>
          <w:sz w:val="28"/>
        </w:rPr>
      </w:pPr>
    </w:p>
    <w:p w14:paraId="2C000000">
      <w:pPr>
        <w:ind w:firstLine="0" w:left="6804"/>
        <w:jc w:val="center"/>
        <w:rPr>
          <w:sz w:val="28"/>
        </w:rPr>
      </w:pPr>
      <w:bookmarkStart w:id="1" w:name="Par50"/>
      <w:bookmarkEnd w:id="1"/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ЮДЖЕТНЫЙ ПРОГНОЗ</w:t>
      </w:r>
    </w:p>
    <w:p w14:paraId="2E000000">
      <w:pPr>
        <w:widowControl w:val="0"/>
        <w:ind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>23</w:t>
      </w:r>
      <w:r>
        <w:rPr>
          <w:sz w:val="28"/>
        </w:rPr>
        <w:t xml:space="preserve"> – 20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2F000000">
      <w:pPr>
        <w:pStyle w:val="Style_4"/>
        <w:ind w:firstLine="142" w:left="0"/>
        <w:jc w:val="center"/>
        <w:rPr>
          <w:sz w:val="28"/>
        </w:rPr>
      </w:pPr>
    </w:p>
    <w:p w14:paraId="30000000">
      <w:pPr>
        <w:spacing w:line="228" w:lineRule="auto"/>
        <w:ind/>
        <w:jc w:val="center"/>
        <w:rPr>
          <w:sz w:val="28"/>
        </w:rPr>
      </w:pPr>
      <w:r>
        <w:tab/>
      </w:r>
      <w:r>
        <w:rPr>
          <w:sz w:val="28"/>
        </w:rPr>
        <w:t>Общие положения</w:t>
      </w:r>
    </w:p>
    <w:p w14:paraId="31000000">
      <w:pPr>
        <w:spacing w:line="228" w:lineRule="auto"/>
        <w:ind/>
        <w:jc w:val="center"/>
        <w:rPr>
          <w:sz w:val="28"/>
        </w:rPr>
      </w:pP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4000000">
      <w:pPr>
        <w:ind w:firstLine="700" w:left="0" w:right="-2"/>
        <w:jc w:val="both"/>
        <w:rPr>
          <w:sz w:val="28"/>
        </w:rPr>
      </w:pPr>
      <w:r>
        <w:rPr>
          <w:sz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>
        <w:rPr>
          <w:sz w:val="28"/>
        </w:rPr>
        <w:t>«</w:t>
      </w:r>
      <w:r>
        <w:rPr>
          <w:sz w:val="28"/>
        </w:rPr>
        <w:t>Об утверждении Положения о бюджетном процессе в муниципальном образовании</w:t>
      </w:r>
      <w:r>
        <w:rPr>
          <w:sz w:val="28"/>
        </w:rPr>
        <w:t xml:space="preserve">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z w:val="28"/>
        </w:rPr>
        <w:t>дополнен</w:t>
      </w:r>
      <w:r>
        <w:rPr>
          <w:sz w:val="28"/>
        </w:rPr>
        <w:t>о</w:t>
      </w:r>
      <w:r>
        <w:rPr>
          <w:sz w:val="28"/>
        </w:rPr>
        <w:t xml:space="preserve"> статьей 19 «Долгосрочное бюджетное планирование». </w:t>
      </w:r>
    </w:p>
    <w:p w14:paraId="3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Правила разработки и утверждения бюджетного прогноза </w:t>
      </w:r>
      <w:r>
        <w:rPr>
          <w:sz w:val="28"/>
        </w:rPr>
        <w:t>Кринично-Лугско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 xml:space="preserve">го </w:t>
      </w:r>
      <w:r>
        <w:rPr>
          <w:sz w:val="28"/>
        </w:rPr>
        <w:t>поселени</w:t>
      </w:r>
      <w:r>
        <w:rPr>
          <w:sz w:val="28"/>
        </w:rPr>
        <w:t xml:space="preserve">я </w:t>
      </w:r>
      <w:r>
        <w:rPr>
          <w:sz w:val="28"/>
        </w:rPr>
        <w:t xml:space="preserve">на долгосрочный период утверждены </w:t>
      </w:r>
      <w:r>
        <w:rPr>
          <w:sz w:val="28"/>
        </w:rPr>
        <w:t>постановлени</w:t>
      </w:r>
      <w:r>
        <w:rPr>
          <w:sz w:val="28"/>
        </w:rPr>
        <w:t xml:space="preserve">ем </w:t>
      </w:r>
      <w:r>
        <w:rPr>
          <w:sz w:val="28"/>
        </w:rPr>
        <w:t xml:space="preserve">Администрации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от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.12.2015 №</w:t>
      </w:r>
      <w:r>
        <w:rPr>
          <w:sz w:val="28"/>
        </w:rPr>
        <w:t xml:space="preserve"> 257</w:t>
      </w:r>
      <w:r>
        <w:rPr>
          <w:sz w:val="28"/>
        </w:rPr>
        <w:t xml:space="preserve"> «Об утверждении Правил разработки и утверждения бюджетного прогноза </w:t>
      </w:r>
      <w:r>
        <w:rPr>
          <w:sz w:val="28"/>
        </w:rPr>
        <w:t>К</w:t>
      </w:r>
      <w:r>
        <w:rPr>
          <w:sz w:val="28"/>
        </w:rPr>
        <w:t>ринично-Лугско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на долгосрочный</w:t>
      </w:r>
      <w:r>
        <w:rPr>
          <w:sz w:val="28"/>
        </w:rPr>
        <w:t xml:space="preserve"> период».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на период 2023-2036 годов разработан </w:t>
      </w:r>
      <w:r>
        <w:rPr>
          <w:sz w:val="28"/>
        </w:rPr>
        <w:t xml:space="preserve">на основе долгосрочного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</w:t>
      </w:r>
      <w:r>
        <w:rPr>
          <w:spacing w:val="-2"/>
          <w:sz w:val="28"/>
        </w:rPr>
        <w:t>до 203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 года, </w:t>
      </w:r>
      <w:r>
        <w:rPr>
          <w:sz w:val="28"/>
        </w:rPr>
        <w:t xml:space="preserve">утвержденного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</w:t>
      </w:r>
      <w:r>
        <w:rPr>
          <w:sz w:val="28"/>
        </w:rPr>
        <w:t xml:space="preserve"> 25.11.2019</w:t>
      </w:r>
      <w:r>
        <w:rPr>
          <w:sz w:val="28"/>
        </w:rPr>
        <w:t xml:space="preserve"> № </w:t>
      </w:r>
      <w:r>
        <w:rPr>
          <w:sz w:val="28"/>
        </w:rPr>
        <w:t>101</w:t>
      </w:r>
      <w:r>
        <w:rPr>
          <w:sz w:val="28"/>
        </w:rPr>
        <w:t xml:space="preserve"> «О долгосрочном прогнозе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период до 203</w:t>
      </w:r>
      <w:r>
        <w:rPr>
          <w:sz w:val="28"/>
        </w:rPr>
        <w:t>6</w:t>
      </w:r>
      <w:r>
        <w:rPr>
          <w:sz w:val="28"/>
        </w:rPr>
        <w:t xml:space="preserve"> года» </w:t>
      </w:r>
      <w:r>
        <w:rPr>
          <w:sz w:val="28"/>
        </w:rPr>
        <w:t>(далее – долгосрочный</w:t>
      </w:r>
      <w:r>
        <w:rPr>
          <w:sz w:val="28"/>
        </w:rPr>
        <w:t xml:space="preserve"> прогноз социально-экономического развития).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(дале</w:t>
      </w:r>
      <w:r>
        <w:rPr>
          <w:sz w:val="28"/>
        </w:rPr>
        <w:t>е-</w:t>
      </w:r>
      <w:r>
        <w:rPr>
          <w:sz w:val="28"/>
        </w:rPr>
        <w:t xml:space="preserve"> бюджетный прогноз) </w:t>
      </w:r>
      <w:r>
        <w:rPr>
          <w:sz w:val="28"/>
        </w:rPr>
        <w:t xml:space="preserve">содержит информацию об основных параметрах </w:t>
      </w:r>
      <w:r>
        <w:rPr>
          <w:sz w:val="28"/>
        </w:rPr>
        <w:t xml:space="preserve">второго </w:t>
      </w:r>
      <w:r>
        <w:rPr>
          <w:sz w:val="28"/>
        </w:rPr>
        <w:t xml:space="preserve">варианта долгосрочного прогноза социально-экономического развития </w:t>
      </w:r>
      <w:r>
        <w:rPr>
          <w:sz w:val="28"/>
        </w:rPr>
        <w:t>Ростовской области</w:t>
      </w:r>
      <w:r>
        <w:rPr>
          <w:sz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14:paraId="38000000">
      <w:pPr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период 2023-2036 годов </w:t>
      </w: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>
        <w:rPr>
          <w:color w:themeColor="text1" w:val="000000"/>
          <w:sz w:val="28"/>
        </w:rPr>
        <w:t xml:space="preserve">Ежегодно средний темп роста  налоговых и неналоговых доходов бюджета составит </w:t>
      </w:r>
      <w:r>
        <w:rPr>
          <w:color w:themeColor="text1" w:val="000000"/>
          <w:sz w:val="28"/>
        </w:rPr>
        <w:t>4,0</w:t>
      </w:r>
      <w:r>
        <w:rPr>
          <w:color w:themeColor="text1" w:val="000000"/>
          <w:sz w:val="28"/>
        </w:rPr>
        <w:t xml:space="preserve"> процента.</w:t>
      </w:r>
      <w:r>
        <w:rPr>
          <w:color w:themeColor="text1" w:val="000000"/>
          <w:sz w:val="28"/>
        </w:rPr>
        <w:t xml:space="preserve"> Объем безвозмез</w:t>
      </w:r>
      <w:r>
        <w:rPr>
          <w:color w:themeColor="text1" w:val="000000"/>
          <w:sz w:val="28"/>
        </w:rPr>
        <w:t xml:space="preserve">дных поступлений запланирован на уровне показателей 2023 года </w:t>
      </w:r>
      <w:r>
        <w:rPr>
          <w:color w:themeColor="text1" w:val="000000"/>
          <w:sz w:val="28"/>
        </w:rPr>
        <w:t>до 2036 года.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>Бюджетным прогнозом предусмотрено отсутствие муниципального долга за период 2023-2036 годов.</w:t>
      </w:r>
    </w:p>
    <w:p w14:paraId="3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Доходы и расходы бюджета поселения в целом прогнозируются к 2036 году с увеличением от уровня 2023 года в реальном выражении </w:t>
      </w:r>
      <w:r>
        <w:rPr>
          <w:sz w:val="28"/>
        </w:rPr>
        <w:t>в 1,5 раза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на период 2023–2025 годов  приведены в соответствие </w:t>
      </w:r>
      <w:r>
        <w:rPr>
          <w:sz w:val="28"/>
        </w:rPr>
        <w:t xml:space="preserve">с первоначально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</w:t>
      </w:r>
      <w:r>
        <w:rPr>
          <w:sz w:val="28"/>
        </w:rPr>
        <w:t xml:space="preserve">.12.2022 № </w:t>
      </w:r>
      <w:r>
        <w:rPr>
          <w:sz w:val="28"/>
        </w:rPr>
        <w:t>62</w:t>
      </w:r>
      <w:r>
        <w:rPr>
          <w:sz w:val="28"/>
        </w:rPr>
        <w:t xml:space="preserve"> </w:t>
      </w:r>
      <w:r>
        <w:rPr>
          <w:sz w:val="28"/>
        </w:rPr>
        <w:t xml:space="preserve">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>.</w:t>
      </w:r>
    </w:p>
    <w:p w14:paraId="3E000000">
      <w:pPr>
        <w:ind w:firstLine="708" w:left="0"/>
        <w:jc w:val="both"/>
        <w:rPr>
          <w:sz w:val="28"/>
        </w:rPr>
      </w:pPr>
    </w:p>
    <w:p w14:paraId="3F000000">
      <w:pPr>
        <w:tabs>
          <w:tab w:leader="none" w:pos="1005" w:val="left"/>
        </w:tabs>
        <w:ind/>
      </w:pPr>
    </w:p>
    <w:p w14:paraId="40000000"/>
    <w:p w14:paraId="41000000">
      <w:pPr>
        <w:sectPr>
          <w:footerReference r:id="rId2" w:type="default"/>
          <w:pgSz w:h="16840" w:orient="portrait" w:w="11907"/>
          <w:pgMar w:bottom="851" w:footer="720" w:gutter="0" w:header="720" w:left="1701" w:right="567" w:top="1134"/>
        </w:sectPr>
      </w:pPr>
    </w:p>
    <w:p w14:paraId="42000000">
      <w:pPr>
        <w:pStyle w:val="Style_4"/>
        <w:widowControl w:val="0"/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14:paraId="43000000">
      <w:pPr>
        <w:pStyle w:val="Style_4"/>
        <w:widowControl w:val="0"/>
        <w:ind w:firstLine="0" w:left="928"/>
        <w:rPr>
          <w:sz w:val="28"/>
        </w:rPr>
      </w:pPr>
    </w:p>
    <w:p w14:paraId="44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тыс. рублей</w:t>
      </w:r>
      <w:r>
        <w:rPr>
          <w:sz w:val="28"/>
        </w:rPr>
        <w:t>)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3"/>
        <w:gridCol w:w="3324"/>
        <w:gridCol w:w="170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>
        <w:tc>
          <w:tcPr>
            <w:tcW w:type="dxa" w:w="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3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показателя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t xml:space="preserve"> измерения</w:t>
            </w:r>
          </w:p>
        </w:tc>
        <w:tc>
          <w:tcPr>
            <w:tcW w:type="dxa" w:w="10279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c>
          <w:tcPr>
            <w:tcW w:type="dxa" w:w="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3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A000000">
      <w:pPr>
        <w:widowControl w:val="0"/>
        <w:ind/>
        <w:jc w:val="center"/>
        <w:rPr>
          <w:b w:val="1"/>
          <w:sz w:val="28"/>
        </w:rPr>
      </w:pPr>
    </w:p>
    <w:p w14:paraId="8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 Прогноз основных характеристик бюджета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</w:t>
      </w:r>
    </w:p>
    <w:p w14:paraId="8C000000">
      <w:pPr>
        <w:widowControl w:val="0"/>
        <w:ind w:firstLine="709" w:left="10635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22"/>
        <w:gridCol w:w="993"/>
        <w:gridCol w:w="992"/>
        <w:gridCol w:w="992"/>
        <w:gridCol w:w="851"/>
        <w:gridCol w:w="850"/>
        <w:gridCol w:w="992"/>
      </w:tblGrid>
      <w:tr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bookmarkStart w:id="2" w:name="Par308"/>
            <w:bookmarkEnd w:id="2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353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9D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  <w:gridCol w:w="992"/>
      </w:tblGrid>
      <w:tr>
        <w:trPr>
          <w:trHeight w:hRule="atLeast" w:val="205"/>
          <w:tblHeader/>
        </w:trP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1290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r>
              <w:rPr>
                <w:sz w:val="24"/>
              </w:rPr>
              <w:t>Кринично-Лугского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85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00000"/>
        </w:tc>
        <w:tc>
          <w:tcPr>
            <w:tcW w:type="dxa" w:w="9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/>
        </w:tc>
        <w:tc>
          <w:tcPr>
            <w:tcW w:type="dxa" w:w="9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/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7 015,0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24 207,9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23 729,5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24736,3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25491,8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26277,5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27094,6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27944,4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28828,2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29747,4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30703,3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31697,5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32731,4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33806,7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4 649,7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4 824,8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15 243,4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18888,</w:t>
            </w:r>
            <w:r>
              <w:rPr>
                <w:sz w:val="24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19644,</w:t>
            </w: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20429,9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21247,</w:t>
            </w: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22096,8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22980,6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23899,8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24855,7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25849,</w:t>
            </w: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26883,8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27959,1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12 365,3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9 383,1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8 486,1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24 207,9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23 729,5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24736,3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25491,8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26277,5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27094,6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27944,4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28828,2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29747,4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30703,3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31697,5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32731,4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33806,7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610,4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558,9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24124,13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24860,7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25626,8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26423,4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27252,0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28113,7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7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29009,9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29941,9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30911,3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31919,3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32967,7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901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-</w:t>
      </w:r>
    </w:p>
    <w:p w14:paraId="2A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r>
        <w:rPr>
          <w:sz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14:paraId="2B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C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D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E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F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30010000">
      <w:pPr>
        <w:widowControl w:val="0"/>
        <w:ind/>
        <w:jc w:val="center"/>
        <w:rPr>
          <w:sz w:val="28"/>
        </w:rPr>
      </w:pPr>
    </w:p>
    <w:p w14:paraId="31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2.1. Показатели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2010000">
      <w:pPr>
        <w:widowControl w:val="0"/>
        <w:tabs>
          <w:tab w:leader="none" w:pos="12750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тыс</w:t>
      </w:r>
      <w:r>
        <w:rPr>
          <w:sz w:val="24"/>
        </w:rPr>
        <w:t>.р</w:t>
      </w:r>
      <w:r>
        <w:rPr>
          <w:sz w:val="24"/>
        </w:rPr>
        <w:t>уб</w:t>
      </w:r>
      <w:r>
        <w:rPr>
          <w:sz w:val="24"/>
        </w:rPr>
        <w:t>.)</w:t>
      </w:r>
    </w:p>
    <w:tbl>
      <w:tblPr>
        <w:tblStyle w:val="Style_5"/>
        <w:tblInd w:type="dxa" w:w="-7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51"/>
        <w:gridCol w:w="820"/>
        <w:gridCol w:w="821"/>
        <w:gridCol w:w="955"/>
        <w:gridCol w:w="820"/>
        <w:gridCol w:w="821"/>
        <w:gridCol w:w="955"/>
        <w:gridCol w:w="955"/>
        <w:gridCol w:w="956"/>
        <w:gridCol w:w="820"/>
        <w:gridCol w:w="955"/>
        <w:gridCol w:w="956"/>
        <w:gridCol w:w="955"/>
        <w:gridCol w:w="820"/>
        <w:gridCol w:w="861"/>
      </w:tblGrid>
      <w:tr>
        <w:trPr>
          <w:tblHeader/>
        </w:trPr>
        <w:tc>
          <w:tcPr>
            <w:tcW w:type="dxa" w:w="1532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blHeader/>
        </w:trPr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pStyle w:val="Style_6"/>
              <w:ind w:firstLine="5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22"/>
              </w:rPr>
              <w:t>ринично-Лугского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1247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периода прогнозирования</w:t>
            </w:r>
          </w:p>
        </w:tc>
      </w:tr>
      <w:tr>
        <w:trPr>
          <w:trHeight w:hRule="atLeast" w:val="496"/>
          <w:tblHeader/>
        </w:trPr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культуры и туризма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12 318,6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11208,1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10224,8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3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физической культуры и спорта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 xml:space="preserve"> Обеспечение качественными жилищно-коммунальными услугами населения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2 781,4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1 128,3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1 178,3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1 531,4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ind/>
              <w:jc w:val="center"/>
            </w:pPr>
            <w:r>
              <w:rPr>
                <w:spacing w:val="-20"/>
              </w:rPr>
              <w:t>7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Информационное общество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181,5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ind/>
              <w:jc w:val="center"/>
            </w:pPr>
            <w:r>
              <w:rPr>
                <w:spacing w:val="-20"/>
              </w:rPr>
              <w:t>1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Энергоэффективность</w:t>
            </w:r>
            <w:r>
              <w:rPr>
                <w:sz w:val="22"/>
              </w:rPr>
              <w:t xml:space="preserve"> и развитие энергетики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ind/>
              <w:jc w:val="center"/>
            </w:pPr>
            <w:r>
              <w:rPr>
                <w:spacing w:val="-20"/>
              </w:rPr>
              <w:t>3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ind/>
              <w:jc w:val="center"/>
            </w:pPr>
            <w:r>
              <w:rPr>
                <w:spacing w:val="-20"/>
              </w:rPr>
              <w:t>65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ind/>
              <w:jc w:val="center"/>
            </w:pPr>
            <w:r>
              <w:rPr>
                <w:spacing w:val="-20"/>
              </w:rPr>
              <w:t>65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65,0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ind/>
              <w:jc w:val="center"/>
            </w:pPr>
            <w:r>
              <w:rPr>
                <w:spacing w:val="-20"/>
              </w:rPr>
              <w:t>10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Муниципальная политика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9 940,0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9212,9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9253,3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6872,0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pStyle w:val="Style_6"/>
              <w:ind w:firstLine="58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26 087,4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22 843,9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21773,8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18916,6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r>
              <w:rPr>
                <w:spacing w:val="-20"/>
              </w:rPr>
              <w:t>18916,6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r>
              <w:rPr>
                <w:spacing w:val="-20"/>
              </w:rPr>
              <w:t>18916,6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14:paraId="E9010000"/>
    <w:p w14:paraId="EA010000">
      <w:pPr>
        <w:tabs>
          <w:tab w:leader="none" w:pos="0" w:val="left"/>
        </w:tabs>
        <w:ind/>
        <w:jc w:val="both"/>
        <w:rPr>
          <w:sz w:val="24"/>
        </w:rPr>
      </w:pPr>
      <w:r>
        <w:tab/>
      </w:r>
      <w:r>
        <w:rPr>
          <w:sz w:val="24"/>
          <w:vertAlign w:val="superscript"/>
        </w:rPr>
        <w:t>1</w:t>
      </w:r>
      <w:r>
        <w:rPr>
          <w:sz w:val="24"/>
        </w:rPr>
        <w:t xml:space="preserve"> Плановые бюджетные ассигнования, предусмотренные за счет средств областного бюджета и безвозмездных поступлений </w:t>
      </w:r>
      <w:r>
        <w:rPr>
          <w:sz w:val="24"/>
        </w:rPr>
        <w:t xml:space="preserve">в </w:t>
      </w:r>
      <w:r>
        <w:rPr>
          <w:sz w:val="24"/>
        </w:rPr>
        <w:t>бюджет</w:t>
      </w:r>
      <w:r>
        <w:rPr>
          <w:sz w:val="24"/>
        </w:rPr>
        <w:t xml:space="preserve"> поселения</w:t>
      </w:r>
      <w:r>
        <w:rPr>
          <w:sz w:val="24"/>
        </w:rPr>
        <w:t>.</w:t>
      </w:r>
    </w:p>
    <w:p w14:paraId="EB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 Объем бюджетных ассигнований соответствует </w:t>
      </w:r>
      <w:r>
        <w:rPr>
          <w:sz w:val="24"/>
        </w:rPr>
        <w:t>решени</w:t>
      </w:r>
      <w:r>
        <w:rPr>
          <w:sz w:val="24"/>
        </w:rPr>
        <w:t xml:space="preserve">ю </w:t>
      </w:r>
      <w:r>
        <w:rPr>
          <w:sz w:val="24"/>
        </w:rPr>
        <w:t xml:space="preserve">Собрания депутатов </w:t>
      </w:r>
      <w:r>
        <w:rPr>
          <w:sz w:val="24"/>
        </w:rPr>
        <w:t xml:space="preserve">от 23.12.2022 № 62 </w:t>
      </w:r>
      <w:r>
        <w:rPr>
          <w:sz w:val="24"/>
        </w:rPr>
        <w:t xml:space="preserve">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2023 год и на плановый период 2024 и 2025 годов»</w:t>
      </w:r>
      <w:r>
        <w:rPr>
          <w:sz w:val="24"/>
        </w:rPr>
        <w:t xml:space="preserve"> </w:t>
      </w:r>
      <w:r>
        <w:rPr>
          <w:sz w:val="24"/>
        </w:rPr>
        <w:t>по состоянию на 1 января 2023 г.</w:t>
      </w:r>
    </w:p>
    <w:p w14:paraId="EC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 Объем бюджетных ассигнований соответствует постановлениям Правительства </w:t>
      </w:r>
      <w:r>
        <w:rPr>
          <w:sz w:val="24"/>
        </w:rPr>
        <w:t xml:space="preserve">Администрации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об утверждении муниципальных </w:t>
      </w:r>
      <w:r>
        <w:rPr>
          <w:sz w:val="24"/>
        </w:rPr>
        <w:t xml:space="preserve">программ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по состоянию на 1 января 2023 г. </w:t>
      </w:r>
    </w:p>
    <w:p w14:paraId="ED010000">
      <w:pPr>
        <w:ind w:firstLine="709" w:left="0"/>
        <w:jc w:val="both"/>
        <w:rPr>
          <w:sz w:val="24"/>
        </w:rPr>
      </w:pPr>
    </w:p>
    <w:p w14:paraId="EE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EF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Муниципальная </w:t>
      </w:r>
      <w:r>
        <w:rPr>
          <w:sz w:val="24"/>
        </w:rPr>
        <w:t xml:space="preserve">программа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«Формирование современной городской среды на территории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поселения» реализуется с 2018 по 2025 год.</w:t>
      </w:r>
    </w:p>
    <w:p w14:paraId="F0010000">
      <w:pPr>
        <w:ind w:firstLine="709" w:left="0"/>
        <w:rPr>
          <w:sz w:val="28"/>
        </w:rPr>
      </w:pPr>
      <w:r>
        <w:rPr>
          <w:sz w:val="24"/>
        </w:rPr>
        <w:t>Х – не подлежит заполнению</w:t>
      </w:r>
      <w:bookmarkStart w:id="3" w:name="_GoBack"/>
      <w:bookmarkEnd w:id="3"/>
    </w:p>
    <w:p w14:paraId="F1010000">
      <w:pPr>
        <w:sectPr>
          <w:footerReference r:id="rId1" w:type="default"/>
          <w:pgSz w:h="11907" w:orient="landscape" w:w="16840"/>
          <w:pgMar w:bottom="851" w:footer="720" w:gutter="0" w:header="720" w:left="851" w:right="851" w:top="1418"/>
        </w:sectPr>
      </w:pPr>
    </w:p>
    <w:p w14:paraId="F2010000">
      <w:pPr>
        <w:widowControl w:val="0"/>
        <w:numPr>
          <w:ilvl w:val="1"/>
          <w:numId w:val="2"/>
        </w:numPr>
        <w:tabs>
          <w:tab w:leader="none" w:pos="0" w:val="left"/>
          <w:tab w:leader="none" w:pos="2700" w:val="clear"/>
        </w:tabs>
        <w:ind w:firstLine="851" w:left="0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сновные подходы к формированию бюджетной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</w:rPr>
        <w:t>ов</w:t>
      </w:r>
    </w:p>
    <w:p w14:paraId="F3010000">
      <w:pPr>
        <w:ind w:firstLine="709" w:left="0"/>
        <w:jc w:val="both"/>
        <w:rPr>
          <w:sz w:val="28"/>
        </w:rPr>
      </w:pPr>
    </w:p>
    <w:p w14:paraId="F4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F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долга </w:t>
      </w:r>
      <w:r>
        <w:rPr>
          <w:sz w:val="28"/>
        </w:rPr>
        <w:t>поселения</w:t>
      </w:r>
      <w:r>
        <w:rPr>
          <w:sz w:val="28"/>
        </w:rPr>
        <w:t xml:space="preserve"> осуществлен исходя из ограничений по размеру дефицита и уровню </w:t>
      </w:r>
      <w:r>
        <w:rPr>
          <w:sz w:val="28"/>
        </w:rPr>
        <w:t>муниципального</w:t>
      </w:r>
      <w:r>
        <w:rPr>
          <w:sz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F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прогнозируемом периоде будет продолжена долговая </w:t>
      </w:r>
      <w:r>
        <w:rPr>
          <w:sz w:val="28"/>
        </w:rPr>
        <w:t xml:space="preserve">политика </w:t>
      </w:r>
      <w:r>
        <w:rPr>
          <w:sz w:val="28"/>
        </w:rPr>
        <w:t>на отсутствие</w:t>
      </w:r>
      <w:r>
        <w:rPr>
          <w:sz w:val="28"/>
        </w:rPr>
        <w:t xml:space="preserve"> муниципального </w:t>
      </w:r>
      <w:r>
        <w:rPr>
          <w:sz w:val="28"/>
        </w:rPr>
        <w:t>долг</w:t>
      </w:r>
      <w:r>
        <w:rPr>
          <w:sz w:val="28"/>
        </w:rPr>
        <w:t>а</w:t>
      </w:r>
      <w:r>
        <w:rPr>
          <w:sz w:val="28"/>
        </w:rPr>
        <w:t>.</w:t>
      </w:r>
    </w:p>
    <w:p w14:paraId="F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</w:t>
      </w:r>
      <w:r>
        <w:rPr>
          <w:sz w:val="28"/>
        </w:rPr>
        <w:t>политика на</w:t>
      </w:r>
      <w:r>
        <w:rPr>
          <w:sz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</w:rPr>
        <w:t>поселения</w:t>
      </w:r>
      <w:r>
        <w:rPr>
          <w:sz w:val="28"/>
        </w:rPr>
        <w:t xml:space="preserve"> при одновременном обеспечении устойчивости и сбалансированности бюджетной системы.</w:t>
      </w:r>
    </w:p>
    <w:p w14:paraId="F8010000">
      <w:pPr>
        <w:ind w:firstLine="700" w:left="0"/>
        <w:jc w:val="both"/>
        <w:rPr>
          <w:sz w:val="28"/>
        </w:rPr>
      </w:pPr>
    </w:p>
    <w:p w14:paraId="F9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FA01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14:paraId="FB010000">
      <w:pPr>
        <w:ind w:firstLine="709" w:left="0"/>
        <w:jc w:val="both"/>
        <w:rPr>
          <w:sz w:val="28"/>
        </w:rPr>
      </w:pPr>
    </w:p>
    <w:p w14:paraId="FC01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Прогнозирование на долгосрочн</w:t>
      </w:r>
      <w:r>
        <w:rPr>
          <w:sz w:val="28"/>
        </w:rPr>
        <w:t>ую перспективу осуществлялось в </w:t>
      </w:r>
      <w:r>
        <w:rPr>
          <w:sz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>
        <w:rPr>
          <w:spacing w:val="-2"/>
          <w:sz w:val="28"/>
        </w:rPr>
        <w:t xml:space="preserve">продукта, </w:t>
      </w:r>
      <w:r>
        <w:rPr>
          <w:sz w:val="28"/>
        </w:rPr>
        <w:t>прибыли прибыльных предприятий, фонда среднемесячной номинальной начисленной заработной платы.</w:t>
      </w:r>
    </w:p>
    <w:p w14:paraId="FD01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r>
        <w:rPr>
          <w:color w:themeColor="text1" w:val="000000"/>
          <w:sz w:val="28"/>
        </w:rPr>
        <w:t>К</w:t>
      </w:r>
      <w:r>
        <w:rPr>
          <w:color w:themeColor="text1" w:val="000000"/>
          <w:sz w:val="28"/>
        </w:rPr>
        <w:t>ринично-Лугского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на период до 2036 года. </w:t>
      </w:r>
    </w:p>
    <w:p w14:paraId="FE010000">
      <w:pPr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При прогнозировании собственных налоговых и неналоговых доходов учтены тенденции, сложившиеся в предыдущие годы.</w:t>
      </w:r>
    </w:p>
    <w:p w14:paraId="FF010000">
      <w:pPr>
        <w:widowControl w:val="0"/>
        <w:spacing w:line="228" w:lineRule="auto"/>
        <w:ind/>
        <w:jc w:val="center"/>
        <w:rPr>
          <w:sz w:val="28"/>
        </w:rPr>
      </w:pPr>
    </w:p>
    <w:p w14:paraId="0002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  <w:r>
        <w:rPr>
          <w:sz w:val="28"/>
        </w:rPr>
        <w:t>региональной</w:t>
      </w:r>
      <w:r>
        <w:rPr>
          <w:sz w:val="28"/>
        </w:rPr>
        <w:t xml:space="preserve"> финансовой помощи</w:t>
      </w:r>
    </w:p>
    <w:p w14:paraId="01020000">
      <w:pPr>
        <w:widowControl w:val="0"/>
        <w:spacing w:line="228" w:lineRule="auto"/>
        <w:ind/>
        <w:jc w:val="both"/>
        <w:rPr>
          <w:sz w:val="28"/>
        </w:rPr>
      </w:pPr>
    </w:p>
    <w:p w14:paraId="02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</w:t>
      </w:r>
      <w:r>
        <w:rPr>
          <w:sz w:val="28"/>
        </w:rPr>
        <w:t>региональном</w:t>
      </w:r>
      <w:r>
        <w:rPr>
          <w:sz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</w:rPr>
        <w:t>местного самоуправления</w:t>
      </w:r>
      <w:r>
        <w:rPr>
          <w:sz w:val="28"/>
        </w:rPr>
        <w:t xml:space="preserve">. </w:t>
      </w:r>
    </w:p>
    <w:p w14:paraId="03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напрямую зависит от роста поступлений налоговых и неналоговых доходов. </w:t>
      </w:r>
    </w:p>
    <w:p w14:paraId="04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Объем безвозмездных поступлений спрогнозирован в 20</w:t>
      </w:r>
      <w:r>
        <w:rPr>
          <w:sz w:val="28"/>
        </w:rPr>
        <w:t>23</w:t>
      </w:r>
      <w:r>
        <w:rPr>
          <w:sz w:val="28"/>
        </w:rPr>
        <w:t>-20</w:t>
      </w:r>
      <w:r>
        <w:rPr>
          <w:sz w:val="28"/>
        </w:rPr>
        <w:t>36</w:t>
      </w:r>
      <w:r>
        <w:rPr>
          <w:sz w:val="28"/>
        </w:rPr>
        <w:t xml:space="preserve"> годах в соотве</w:t>
      </w:r>
      <w:r>
        <w:rPr>
          <w:sz w:val="28"/>
        </w:rPr>
        <w:t>тствии с первоначально принятым</w:t>
      </w:r>
      <w:r>
        <w:rPr>
          <w:sz w:val="28"/>
        </w:rPr>
        <w:t xml:space="preserve"> </w:t>
      </w:r>
      <w:r>
        <w:rPr>
          <w:sz w:val="28"/>
        </w:rPr>
        <w:t>решением</w:t>
      </w:r>
      <w:r>
        <w:rPr>
          <w:sz w:val="28"/>
        </w:rPr>
        <w:t xml:space="preserve"> Собрания депутатов </w:t>
      </w:r>
      <w:r>
        <w:rPr>
          <w:sz w:val="28"/>
        </w:rPr>
        <w:t>о бюджете</w:t>
      </w:r>
      <w:r>
        <w:rPr>
          <w:sz w:val="28"/>
        </w:rPr>
        <w:t xml:space="preserve"> поселения </w:t>
      </w:r>
      <w:r>
        <w:rPr>
          <w:sz w:val="28"/>
        </w:rPr>
        <w:t xml:space="preserve">на 2022 год и плановый период 2023 и 2024 годов </w:t>
      </w:r>
      <w:r>
        <w:rPr>
          <w:sz w:val="28"/>
        </w:rPr>
        <w:t>от 27.12.2021 № 24</w:t>
      </w:r>
      <w:r>
        <w:rPr>
          <w:sz w:val="28"/>
        </w:rPr>
        <w:t xml:space="preserve"> в </w:t>
      </w:r>
      <w:r>
        <w:rPr>
          <w:sz w:val="28"/>
        </w:rPr>
        <w:t>объеме</w:t>
      </w:r>
      <w:r>
        <w:rPr>
          <w:sz w:val="28"/>
        </w:rPr>
        <w:t xml:space="preserve"> утвержденном на 2023 год</w:t>
      </w:r>
      <w:r>
        <w:rPr>
          <w:sz w:val="28"/>
        </w:rPr>
        <w:t xml:space="preserve">. </w:t>
      </w:r>
    </w:p>
    <w:p w14:paraId="05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06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07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0802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14:paraId="09020000">
      <w:pPr>
        <w:ind w:firstLine="709" w:left="0"/>
        <w:jc w:val="both"/>
        <w:rPr>
          <w:sz w:val="28"/>
        </w:rPr>
      </w:pPr>
      <w:r>
        <w:rPr>
          <w:sz w:val="28"/>
        </w:rPr>
        <w:t>На 2024 и 2025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0A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решением Собрания депутатов от 11.12.2020 № 244 </w:t>
      </w:r>
      <w:r>
        <w:rPr>
          <w:sz w:val="28"/>
        </w:rPr>
        <w:t>«</w:t>
      </w:r>
      <w:r>
        <w:rPr>
          <w:sz w:val="28"/>
        </w:rPr>
        <w:t>Об утверждении Положения о бюджетном процессе в муниципальном образовании</w:t>
      </w:r>
      <w:r>
        <w:rPr>
          <w:sz w:val="28"/>
        </w:rPr>
        <w:t xml:space="preserve">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z w:val="28"/>
        </w:rPr>
        <w:t xml:space="preserve"> бюджет поселения составляется на основе муниципальных программ. </w:t>
      </w:r>
    </w:p>
    <w:p w14:paraId="0B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14:paraId="0C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Основной объем сре</w:t>
      </w:r>
      <w:r>
        <w:rPr>
          <w:sz w:val="28"/>
        </w:rPr>
        <w:t>дств ск</w:t>
      </w:r>
      <w:r>
        <w:rPr>
          <w:sz w:val="28"/>
        </w:rPr>
        <w:t xml:space="preserve">онцентрирован на реализации муниципальных программ поселения, предусматривающих расходы на развитие культуры и спорта, социальную поддержку бывших муниципальных служащих. </w:t>
      </w:r>
    </w:p>
    <w:p w14:paraId="0D020000">
      <w:pPr>
        <w:ind w:firstLine="709" w:left="0"/>
        <w:jc w:val="both"/>
        <w:rPr>
          <w:sz w:val="28"/>
        </w:rPr>
      </w:pPr>
    </w:p>
    <w:p w14:paraId="0E020000">
      <w:pPr>
        <w:ind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0F020000">
      <w:pPr>
        <w:ind/>
        <w:jc w:val="center"/>
        <w:rPr>
          <w:sz w:val="28"/>
        </w:rPr>
      </w:pPr>
      <w:r>
        <w:rPr>
          <w:sz w:val="28"/>
        </w:rPr>
        <w:t>межбюджетных отношений с местными бюджетами</w:t>
      </w:r>
    </w:p>
    <w:p w14:paraId="10020000">
      <w:pPr>
        <w:ind/>
        <w:jc w:val="both"/>
        <w:rPr>
          <w:sz w:val="28"/>
        </w:rPr>
      </w:pPr>
    </w:p>
    <w:p w14:paraId="11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</w:rPr>
        <w:t>поселения</w:t>
      </w:r>
      <w:r>
        <w:rPr>
          <w:sz w:val="28"/>
        </w:rPr>
        <w:t>, направленные на повышение финансовой самостоятельности местн</w:t>
      </w:r>
      <w:r>
        <w:rPr>
          <w:sz w:val="28"/>
        </w:rPr>
        <w:t xml:space="preserve">ого </w:t>
      </w:r>
      <w:r>
        <w:rPr>
          <w:sz w:val="28"/>
        </w:rPr>
        <w:t>бюджет</w:t>
      </w:r>
      <w:r>
        <w:rPr>
          <w:sz w:val="28"/>
        </w:rPr>
        <w:t>а</w:t>
      </w:r>
      <w:r>
        <w:rPr>
          <w:sz w:val="28"/>
        </w:rPr>
        <w:t>, оказание содействия в их сбалансированности, качественное управление муниципальными финансами.</w:t>
      </w:r>
    </w:p>
    <w:p w14:paraId="12020000">
      <w:pPr>
        <w:ind w:firstLine="709" w:left="0"/>
        <w:jc w:val="both"/>
        <w:rPr>
          <w:sz w:val="28"/>
        </w:rPr>
      </w:pPr>
      <w:r>
        <w:rPr>
          <w:sz w:val="28"/>
        </w:rPr>
        <w:t>Дотаци</w:t>
      </w:r>
      <w:r>
        <w:rPr>
          <w:sz w:val="28"/>
        </w:rPr>
        <w:t xml:space="preserve">и </w:t>
      </w:r>
      <w:r>
        <w:rPr>
          <w:sz w:val="28"/>
        </w:rPr>
        <w:t>на выравнивание бюджетной обеспеченности муниципальн</w:t>
      </w:r>
      <w:r>
        <w:rPr>
          <w:sz w:val="28"/>
        </w:rPr>
        <w:t xml:space="preserve">ого </w:t>
      </w:r>
      <w:r>
        <w:rPr>
          <w:sz w:val="28"/>
        </w:rPr>
        <w:t>образовани</w:t>
      </w:r>
      <w:r>
        <w:rPr>
          <w:sz w:val="28"/>
        </w:rPr>
        <w:t xml:space="preserve">я </w:t>
      </w:r>
      <w:r>
        <w:rPr>
          <w:sz w:val="28"/>
        </w:rPr>
        <w:t>будет отведена ведущая роль в системе межбюджетного регулирования. Для этого предполагается установлени</w:t>
      </w:r>
      <w:r>
        <w:rPr>
          <w:sz w:val="28"/>
        </w:rPr>
        <w:t>е</w:t>
      </w:r>
      <w:r>
        <w:rPr>
          <w:sz w:val="28"/>
        </w:rPr>
        <w:t xml:space="preserve">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14:paraId="13020000">
      <w:pPr>
        <w:ind w:firstLine="709" w:left="0"/>
        <w:jc w:val="both"/>
        <w:rPr>
          <w:sz w:val="28"/>
        </w:rPr>
      </w:pPr>
      <w:r>
        <w:rPr>
          <w:sz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</w:rPr>
        <w:t>о</w:t>
      </w:r>
      <w:r>
        <w:rPr>
          <w:sz w:val="28"/>
        </w:rPr>
        <w:t>м, а также повышению ответственности при расходовании бюджетных средств.</w:t>
      </w:r>
    </w:p>
    <w:p w14:paraId="1402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Деятельности муниципального образования </w:t>
      </w:r>
      <w:r>
        <w:rPr>
          <w:sz w:val="28"/>
        </w:rPr>
        <w:t xml:space="preserve">будет </w:t>
      </w:r>
      <w:r>
        <w:rPr>
          <w:sz w:val="28"/>
        </w:rPr>
        <w:t xml:space="preserve">обеспечена поддержка </w:t>
      </w:r>
      <w:r>
        <w:rPr>
          <w:sz w:val="28"/>
        </w:rPr>
        <w:t xml:space="preserve">по бюджетно-финансовым вопросам, осуществлению постоянного </w:t>
      </w:r>
      <w:r>
        <w:rPr>
          <w:sz w:val="28"/>
        </w:rPr>
        <w:t>контроля за</w:t>
      </w:r>
      <w:r>
        <w:rPr>
          <w:sz w:val="28"/>
        </w:rPr>
        <w:t xml:space="preserve"> планированием и исполнением местн</w:t>
      </w:r>
      <w:r>
        <w:rPr>
          <w:sz w:val="28"/>
        </w:rPr>
        <w:t xml:space="preserve">ого </w:t>
      </w:r>
      <w:r>
        <w:rPr>
          <w:sz w:val="28"/>
        </w:rPr>
        <w:t>бюджет</w:t>
      </w:r>
      <w:r>
        <w:rPr>
          <w:sz w:val="28"/>
        </w:rPr>
        <w:t>а</w:t>
      </w:r>
      <w:r>
        <w:rPr>
          <w:sz w:val="28"/>
        </w:rPr>
        <w:t>.</w:t>
      </w:r>
    </w:p>
    <w:p w14:paraId="15020000">
      <w:pPr>
        <w:ind/>
        <w:jc w:val="center"/>
        <w:rPr>
          <w:sz w:val="28"/>
        </w:rPr>
      </w:pPr>
    </w:p>
    <w:p w14:paraId="16020000">
      <w:pPr>
        <w:ind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17020000">
      <w:pPr>
        <w:ind/>
        <w:jc w:val="both"/>
        <w:rPr>
          <w:sz w:val="28"/>
        </w:rPr>
      </w:pPr>
    </w:p>
    <w:p w14:paraId="18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долговой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период до 203</w:t>
      </w:r>
      <w:r>
        <w:rPr>
          <w:sz w:val="28"/>
        </w:rPr>
        <w:t>6</w:t>
      </w:r>
      <w:r>
        <w:rPr>
          <w:sz w:val="28"/>
        </w:rPr>
        <w:t xml:space="preserve"> года будет являться </w:t>
      </w:r>
      <w:r>
        <w:rPr>
          <w:sz w:val="28"/>
        </w:rPr>
        <w:t>отсутствие муниципального</w:t>
      </w:r>
      <w:r>
        <w:rPr>
          <w:sz w:val="28"/>
        </w:rPr>
        <w:t xml:space="preserve"> долга и минимизация расходов на его обслуживание.</w:t>
      </w:r>
    </w:p>
    <w:p w14:paraId="19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</w:t>
      </w:r>
      <w:r>
        <w:rPr>
          <w:sz w:val="28"/>
        </w:rPr>
        <w:t>20</w:t>
      </w:r>
      <w:r>
        <w:rPr>
          <w:sz w:val="28"/>
        </w:rPr>
        <w:t>23–</w:t>
      </w:r>
      <w:r>
        <w:rPr>
          <w:sz w:val="28"/>
        </w:rPr>
        <w:t>203</w:t>
      </w:r>
      <w:r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</w:rPr>
        <w:t xml:space="preserve">ов </w:t>
      </w:r>
      <w:r>
        <w:rPr>
          <w:sz w:val="28"/>
        </w:rPr>
        <w:t xml:space="preserve">бюджет поселения </w:t>
      </w:r>
      <w:r>
        <w:rPr>
          <w:sz w:val="28"/>
        </w:rPr>
        <w:t xml:space="preserve">планируется у </w:t>
      </w:r>
      <w:r>
        <w:rPr>
          <w:sz w:val="28"/>
        </w:rPr>
        <w:t>прин</w:t>
      </w:r>
      <w:r>
        <w:rPr>
          <w:sz w:val="28"/>
        </w:rPr>
        <w:t xml:space="preserve">ятию </w:t>
      </w:r>
      <w:r>
        <w:rPr>
          <w:sz w:val="28"/>
        </w:rPr>
        <w:t>сбалансированн</w:t>
      </w:r>
      <w:r>
        <w:rPr>
          <w:sz w:val="28"/>
        </w:rPr>
        <w:t>ым.</w:t>
      </w:r>
    </w:p>
    <w:p w14:paraId="1A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</w:t>
      </w:r>
      <w:r>
        <w:rPr>
          <w:sz w:val="28"/>
        </w:rPr>
        <w:t xml:space="preserve">долговая политика будет направлена </w:t>
      </w:r>
      <w:r>
        <w:rPr>
          <w:sz w:val="28"/>
        </w:rPr>
        <w:t xml:space="preserve">на </w:t>
      </w:r>
      <w:r>
        <w:rPr>
          <w:sz w:val="28"/>
        </w:rPr>
        <w:t xml:space="preserve">сохранение </w:t>
      </w:r>
      <w:r>
        <w:rPr>
          <w:sz w:val="28"/>
        </w:rPr>
        <w:t xml:space="preserve">отсутствия муниципального </w:t>
      </w:r>
      <w:r>
        <w:rPr>
          <w:sz w:val="28"/>
        </w:rPr>
        <w:t xml:space="preserve">долга, при этом должна быть обеспечена способность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14:paraId="1B020000">
      <w:pPr>
        <w:rPr>
          <w:sz w:val="28"/>
        </w:rPr>
      </w:pPr>
    </w:p>
    <w:p w14:paraId="1C020000">
      <w:pPr>
        <w:ind w:firstLine="709" w:left="0"/>
        <w:jc w:val="both"/>
        <w:rPr>
          <w:sz w:val="28"/>
        </w:rPr>
      </w:pPr>
    </w:p>
    <w:sectPr>
      <w:footerReference r:id="rId3" w:type="default"/>
      <w:pgSz w:h="16840" w:orient="portrait" w:w="11907"/>
      <w:pgMar w:bottom="709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2"/>
      <w:numFmt w:val="decimal"/>
      <w:lvlText w:val="%1.%2."/>
      <w:lvlJc w:val="left"/>
      <w:pPr>
        <w:tabs>
          <w:tab w:leader="none" w:pos="2700" w:val="left"/>
        </w:tabs>
        <w:ind w:hanging="720" w:left="2700"/>
      </w:pPr>
    </w:lvl>
    <w:lvl w:ilvl="2">
      <w:start w:val="1"/>
      <w:numFmt w:val="decimal"/>
      <w:lvlText w:val="%1.%2.%3."/>
      <w:lvlJc w:val="left"/>
      <w:pPr>
        <w:tabs>
          <w:tab w:leader="none" w:pos="4680" w:val="left"/>
        </w:tabs>
        <w:ind w:hanging="720" w:left="4680"/>
      </w:pPr>
    </w:lvl>
    <w:lvl w:ilvl="3">
      <w:start w:val="1"/>
      <w:numFmt w:val="decimal"/>
      <w:lvlText w:val="%1.%2.%3.%4."/>
      <w:lvlJc w:val="left"/>
      <w:pPr>
        <w:tabs>
          <w:tab w:leader="none" w:pos="7020" w:val="left"/>
        </w:tabs>
        <w:ind w:hanging="1080" w:left="7020"/>
      </w:pPr>
    </w:lvl>
    <w:lvl w:ilvl="4">
      <w:start w:val="1"/>
      <w:numFmt w:val="decimal"/>
      <w:lvlText w:val="%1.%2.%3.%4.%5."/>
      <w:lvlJc w:val="left"/>
      <w:pPr>
        <w:tabs>
          <w:tab w:leader="none" w:pos="9000" w:val="left"/>
        </w:tabs>
        <w:ind w:hanging="1080" w:left="9000"/>
      </w:pPr>
    </w:lvl>
    <w:lvl w:ilvl="5">
      <w:start w:val="1"/>
      <w:numFmt w:val="decimal"/>
      <w:lvlText w:val="%1.%2.%3.%4.%5.%6."/>
      <w:lvlJc w:val="left"/>
      <w:pPr>
        <w:tabs>
          <w:tab w:leader="none" w:pos="11340" w:val="left"/>
        </w:tabs>
        <w:ind w:hanging="1440" w:left="11340"/>
      </w:pPr>
    </w:lvl>
    <w:lvl w:ilvl="6">
      <w:start w:val="1"/>
      <w:numFmt w:val="decimal"/>
      <w:lvlText w:val="%1.%2.%3.%4.%5.%6.%7."/>
      <w:lvlJc w:val="left"/>
      <w:pPr>
        <w:tabs>
          <w:tab w:leader="none" w:pos="13680" w:val="left"/>
        </w:tabs>
        <w:ind w:hanging="1800" w:left="13680"/>
      </w:pPr>
    </w:lvl>
    <w:lvl w:ilvl="7">
      <w:start w:val="1"/>
      <w:numFmt w:val="decimal"/>
      <w:lvlText w:val="%1.%2.%3.%4.%5.%6.%7.%8."/>
      <w:lvlJc w:val="left"/>
      <w:pPr>
        <w:tabs>
          <w:tab w:leader="none" w:pos="15660" w:val="left"/>
        </w:tabs>
        <w:ind w:hanging="1800" w:left="15660"/>
      </w:pPr>
    </w:lvl>
    <w:lvl w:ilvl="8">
      <w:start w:val="1"/>
      <w:numFmt w:val="decimal"/>
      <w:lvlText w:val="%1.%2.%3.%4.%5.%6.%7.%8.%9."/>
      <w:lvlJc w:val="left"/>
      <w:pPr>
        <w:tabs>
          <w:tab w:leader="none" w:pos="18000" w:val="left"/>
        </w:tabs>
        <w:ind w:hanging="2160" w:left="180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0"/>
    </w:rPr>
  </w:style>
  <w:style w:default="1" w:styleId="Style_7_ch" w:type="character">
    <w:name w:val="Normal"/>
    <w:link w:val="Style_7"/>
    <w:rPr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Postan"/>
    <w:basedOn w:val="Style_7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7_ch"/>
    <w:link w:val="Style_9"/>
    <w:rPr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er"/>
    <w:basedOn w:val="Style_7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header"/>
    <w:basedOn w:val="Style_7_ch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Indent"/>
    <w:basedOn w:val="Style_7"/>
    <w:link w:val="Style_15_ch"/>
    <w:pPr>
      <w:ind w:firstLine="709" w:left="0"/>
      <w:jc w:val="both"/>
    </w:pPr>
  </w:style>
  <w:style w:styleId="Style_15_ch" w:type="character">
    <w:name w:val="Body Text Indent"/>
    <w:basedOn w:val="Style_7_ch"/>
    <w:link w:val="Style_15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"/>
    <w:basedOn w:val="Style_7"/>
    <w:link w:val="Style_17_ch"/>
  </w:style>
  <w:style w:styleId="Style_17_ch" w:type="character">
    <w:name w:val="Body Text"/>
    <w:basedOn w:val="Style_7_ch"/>
    <w:link w:val="Style_17"/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0_ch" w:type="character">
    <w:name w:val="heading 1"/>
    <w:basedOn w:val="Style_7_ch"/>
    <w:link w:val="Style_20"/>
    <w:rPr>
      <w:rFonts w:ascii="AG Souvenir" w:hAnsi="AG Souvenir"/>
      <w:b w:val="1"/>
      <w:spacing w:val="38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1" w:type="paragraph">
    <w:name w:val="Hyperlink"/>
    <w:basedOn w:val="Style_22"/>
    <w:link w:val="Style_21_ch"/>
    <w:rPr>
      <w:color w:val="0000FF"/>
      <w:u w:val="single"/>
    </w:rPr>
  </w:style>
  <w:style w:styleId="Style_21_ch" w:type="character">
    <w:name w:val="Hyperlink"/>
    <w:basedOn w:val="Style_22_ch"/>
    <w:link w:val="Style_21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  <w:sz w:val="16"/>
    </w:rPr>
  </w:style>
  <w:style w:styleId="Style_26_ch" w:type="character">
    <w:name w:val="ConsTitle"/>
    <w:link w:val="Style_26"/>
    <w:rPr>
      <w:rFonts w:ascii="Arial" w:hAnsi="Arial"/>
      <w:b w:val="1"/>
      <w:sz w:val="16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1" w:type="paragraph">
    <w:name w:val="Номер страницы1"/>
    <w:basedOn w:val="Style_7"/>
    <w:link w:val="Style_1_ch"/>
    <w:rPr>
      <w:sz w:val="22"/>
    </w:rPr>
  </w:style>
  <w:style w:styleId="Style_1_ch" w:type="character">
    <w:name w:val="Номер страницы1"/>
    <w:basedOn w:val="Style_7_ch"/>
    <w:link w:val="Style_1"/>
    <w:rPr>
      <w:sz w:val="22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basedOn w:val="Style_7"/>
    <w:next w:val="Style_7"/>
    <w:link w:val="Style_33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3_ch" w:type="character">
    <w:name w:val="heading 2"/>
    <w:basedOn w:val="Style_7_ch"/>
    <w:link w:val="Style_33"/>
    <w:rPr>
      <w:rFonts w:ascii="Cambria" w:hAnsi="Cambria"/>
      <w:b w:val="1"/>
      <w:i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2023-02-06T18:57:00Z</dcterms:modified>
</cp:coreProperties>
</file>