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ИНФОРМАЦИЯ</w:t>
      </w:r>
    </w:p>
    <w:p w14:paraId="02000000">
      <w:pPr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об итогах работы Администрации Кринично-Лугского сельского</w:t>
      </w:r>
    </w:p>
    <w:p w14:paraId="03000000">
      <w:pPr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поселения за 2024 год</w:t>
      </w:r>
    </w:p>
    <w:p w14:paraId="0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05000000">
      <w:pPr>
        <w:ind w:firstLine="1560" w:left="-709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 работе Администрации Кринично-Лугского сельского поселения можно получить информацию на официальном сайте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www.krinichno-lugskoesp.ru</w:t>
      </w:r>
    </w:p>
    <w:p w14:paraId="06000000">
      <w:pPr>
        <w:ind w:firstLine="1418" w:left="-709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 Основные направления деятельности Администрации определены ФЗ 131-ФЗ, Уставом сельского поселения,  важным направлением  в работе является взаимодействие с депутатами, жителями поселения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комфортного проживания населения.</w:t>
      </w:r>
    </w:p>
    <w:p w14:paraId="07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08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На территории Кринично-Лугского сельского поселения проживает   </w:t>
      </w:r>
      <w:r>
        <w:rPr>
          <w:rFonts w:ascii="Times New Roman" w:hAnsi="Times New Roman"/>
        </w:rPr>
        <w:t>3725</w:t>
      </w:r>
      <w:r>
        <w:rPr>
          <w:rFonts w:ascii="Times New Roman" w:hAnsi="Times New Roman"/>
        </w:rPr>
        <w:t xml:space="preserve"> человек. </w:t>
      </w:r>
    </w:p>
    <w:p w14:paraId="09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 </w:t>
      </w:r>
    </w:p>
    <w:p w14:paraId="0A000000">
      <w:pPr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u w:color="000000" w:val="single"/>
        </w:rPr>
        <w:t>Организационная работа</w:t>
      </w:r>
    </w:p>
    <w:p w14:paraId="0B000000">
      <w:pPr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0C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 2024  году Администрацией Кринично-Лугского сельского поселения</w:t>
      </w:r>
    </w:p>
    <w:p w14:paraId="0D000000">
      <w:pPr>
        <w:ind w:firstLine="720" w:left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</w:rPr>
        <w:t>·</w:t>
      </w:r>
      <w:r>
        <w:rPr>
          <w:rFonts w:ascii="Times New Roman" w:hAnsi="Times New Roman"/>
          <w:sz w:val="14"/>
        </w:rPr>
        <w:t>               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Пр</w:t>
      </w:r>
      <w:r>
        <w:rPr>
          <w:rFonts w:ascii="Times New Roman" w:hAnsi="Times New Roman"/>
        </w:rPr>
        <w:t>оизведено 144  нотариальных действия;</w:t>
      </w:r>
    </w:p>
    <w:p w14:paraId="0E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·</w:t>
      </w:r>
      <w:r>
        <w:rPr>
          <w:rFonts w:ascii="Times New Roman" w:hAnsi="Times New Roman"/>
          <w:sz w:val="14"/>
        </w:rPr>
        <w:t>               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Выдано</w:t>
      </w:r>
      <w:r>
        <w:rPr>
          <w:rFonts w:ascii="Times New Roman" w:hAnsi="Times New Roman"/>
        </w:rPr>
        <w:t xml:space="preserve"> 445</w:t>
      </w:r>
      <w:r>
        <w:rPr>
          <w:rFonts w:ascii="Times New Roman" w:hAnsi="Times New Roman"/>
        </w:rPr>
        <w:t xml:space="preserve"> разли</w:t>
      </w:r>
      <w:r>
        <w:rPr>
          <w:rFonts w:ascii="Times New Roman" w:hAnsi="Times New Roman"/>
        </w:rPr>
        <w:t xml:space="preserve">чных выписок и справок (126 выписок ЛПХ, </w:t>
      </w:r>
      <w:r>
        <w:rPr>
          <w:rFonts w:ascii="Times New Roman" w:hAnsi="Times New Roman"/>
        </w:rPr>
        <w:t>96 отказов от приоб</w:t>
      </w:r>
      <w:r>
        <w:rPr>
          <w:rFonts w:ascii="Times New Roman" w:hAnsi="Times New Roman"/>
        </w:rPr>
        <w:t>ретения ЗУ, 47 разрешений на складирование строите</w:t>
      </w:r>
      <w:r>
        <w:rPr>
          <w:rFonts w:ascii="Times New Roman" w:hAnsi="Times New Roman"/>
        </w:rPr>
        <w:t>льных материалов, 2 разрешения на самостоятельный спил деревьев, 3 договора найма жилых помещений, 159 справок в паспортный стол и полицию, 12 характеристик);</w:t>
      </w:r>
    </w:p>
    <w:p w14:paraId="0F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·</w:t>
      </w:r>
      <w:r>
        <w:rPr>
          <w:rFonts w:ascii="Times New Roman" w:hAnsi="Times New Roman"/>
          <w:sz w:val="14"/>
        </w:rPr>
        <w:t>                </w:t>
      </w:r>
      <w:r>
        <w:rPr>
          <w:rFonts w:ascii="Times New Roman" w:hAnsi="Times New Roman"/>
          <w:sz w:val="14"/>
        </w:rPr>
        <w:t>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Пе</w:t>
      </w:r>
      <w:r>
        <w:rPr>
          <w:rFonts w:ascii="Times New Roman" w:hAnsi="Times New Roman"/>
        </w:rPr>
        <w:t>редано информации в вышестоящие органы – 1177</w:t>
      </w:r>
      <w:r>
        <w:rPr>
          <w:rFonts w:ascii="Times New Roman" w:hAnsi="Times New Roman"/>
        </w:rPr>
        <w:t>;</w:t>
      </w:r>
    </w:p>
    <w:p w14:paraId="10000000">
      <w:pPr>
        <w:ind w:firstLine="0" w:left="708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11000000">
      <w:pPr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Администрацией сельского поселения  было принято 92</w:t>
      </w:r>
      <w:r>
        <w:rPr>
          <w:rFonts w:ascii="Times New Roman" w:hAnsi="Times New Roman"/>
          <w:sz w:val="28"/>
        </w:rPr>
        <w:t xml:space="preserve"> распоряжения, </w:t>
      </w:r>
      <w:r>
        <w:rPr>
          <w:rFonts w:ascii="Times New Roman" w:hAnsi="Times New Roman"/>
          <w:sz w:val="28"/>
        </w:rPr>
        <w:t>178 распоряжений по  личному составу</w:t>
      </w:r>
      <w:r>
        <w:rPr>
          <w:rFonts w:ascii="Times New Roman" w:hAnsi="Times New Roman"/>
          <w:sz w:val="28"/>
        </w:rPr>
        <w:t>, 148 постановлений</w:t>
      </w:r>
      <w:r>
        <w:rPr>
          <w:rFonts w:ascii="Times New Roman" w:hAnsi="Times New Roman"/>
          <w:sz w:val="28"/>
        </w:rPr>
        <w:t>.</w:t>
      </w:r>
    </w:p>
    <w:p w14:paraId="12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и постоянная работа ведется с депутатами собрания депутатов сельского поселения. В 2024 году  было проведено  14 заседаний, на которых принято 36 решений. Проведено 3 публичных  слушания на которых рассмотрено 3 вопроса:  по исполнению бюджета Кринично-Лугского сельского поселения за 2023 год  и по проекту бюджета Кринично-Лугского сельского поселения на 2025 год и плановый период 2026 и 2027 годов, принятие Устава муниципального образования «Кринично-Лугского сельского поселения».</w:t>
      </w:r>
    </w:p>
    <w:p w14:paraId="13000000">
      <w:pPr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отчетный  период в Администрацию  Кринично-Лугского сельского поселения  </w:t>
      </w:r>
      <w:r>
        <w:rPr>
          <w:rFonts w:ascii="Times New Roman" w:hAnsi="Times New Roman"/>
          <w:sz w:val="28"/>
        </w:rPr>
        <w:t>поступило  6 письменных</w:t>
      </w:r>
      <w:r>
        <w:rPr>
          <w:rFonts w:ascii="Times New Roman" w:hAnsi="Times New Roman"/>
          <w:sz w:val="28"/>
        </w:rPr>
        <w:t xml:space="preserve">  заявлений. Тематика обращений: </w:t>
      </w:r>
    </w:p>
    <w:p w14:paraId="14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конфликтная ситуация с соседями (3 обращения);</w:t>
      </w:r>
    </w:p>
    <w:p w14:paraId="15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</w:t>
      </w:r>
      <w:r>
        <w:rPr>
          <w:rFonts w:ascii="Times New Roman" w:hAnsi="Times New Roman"/>
          <w:sz w:val="28"/>
        </w:rPr>
        <w:t>ие и выгул домашних животных (2 обращения);</w:t>
      </w:r>
    </w:p>
    <w:p w14:paraId="16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проникновение в чужое домовладение (1 обращение).</w:t>
      </w:r>
    </w:p>
    <w:p w14:paraId="17000000">
      <w:pPr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  обращения были даны  ответы  в установленные сроки.  </w:t>
      </w:r>
    </w:p>
    <w:p w14:paraId="18000000">
      <w:pPr>
        <w:spacing w:after="80" w:before="80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spacing w:after="80" w:before="8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>СВЕДЕНИЯ</w:t>
      </w:r>
    </w:p>
    <w:p w14:paraId="1A000000">
      <w:pPr>
        <w:spacing w:after="80" w:before="8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>о ходе исполнения бюджета Кринично-Лугского</w:t>
      </w:r>
    </w:p>
    <w:p w14:paraId="1B000000">
      <w:pPr>
        <w:spacing w:after="80" w:before="8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>сельского поселения</w:t>
      </w:r>
    </w:p>
    <w:p w14:paraId="1C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Бюджет Кринично-Лугского сельского поселения за 2024 год исполнен по доходам в сумме 33 345,7 тыс. рублей, или 113,3 процента к годовому плану и по расходам в сумме 29 733,9 тыс. рублей или 97,9 процента к плану года с профицитом в сумме 3 611,8 тыс. рублей.</w:t>
      </w:r>
    </w:p>
    <w:p w14:paraId="1D000000">
      <w:pPr>
        <w:ind w:firstLine="90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Налоговые и неналоговые доходы бюджета поселения исполнены в сумме 19 419,9 тыс. рублей, или 125,3 процента к годовым плановым назначениям. </w:t>
      </w:r>
    </w:p>
    <w:p w14:paraId="1E000000">
      <w:pPr>
        <w:ind w:firstLine="90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Основным источником налоговых доходов является 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u w:color="000000" w:val="single"/>
        </w:rPr>
        <w:t>диный сельскохозяйственный налог</w:t>
      </w:r>
      <w:r>
        <w:rPr>
          <w:rFonts w:ascii="Times New Roman" w:hAnsi="Times New Roman"/>
        </w:rPr>
        <w:t xml:space="preserve"> на его долю приходится 39,4 процента,  налог поступил в сумме 7 645,9 тыс. рублей. В сравнении с 2023 годом исполнение в 3,2 раза или 5 241,0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тыс. рублей больше, что связано с</w:t>
      </w:r>
      <w:r>
        <w:rPr>
          <w:rFonts w:ascii="Times New Roman" w:hAnsi="Times New Roman"/>
        </w:rPr>
        <w:t xml:space="preserve"> уплатой ЕСХН  налога </w:t>
      </w:r>
      <w:r>
        <w:rPr>
          <w:rFonts w:ascii="Times New Roman" w:hAnsi="Times New Roman"/>
        </w:rPr>
        <w:t xml:space="preserve">в текущем году </w:t>
      </w:r>
      <w:r>
        <w:rPr>
          <w:rFonts w:ascii="Times New Roman" w:hAnsi="Times New Roman"/>
        </w:rPr>
        <w:t>при изменении юридического адреса налогоплательщика.</w:t>
      </w:r>
    </w:p>
    <w:p w14:paraId="1F000000">
      <w:pPr>
        <w:ind w:firstLine="90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На втором месте в структуре доходов находится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color="000000" w:val="single"/>
        </w:rPr>
        <w:t>земельный налог,</w:t>
      </w:r>
      <w:r>
        <w:rPr>
          <w:rFonts w:ascii="Times New Roman" w:hAnsi="Times New Roman"/>
        </w:rPr>
        <w:t xml:space="preserve"> на его долю приходится 35,7 процентов. Фактическое поступление земельного налога составило 6 926,1 тыс. рублей план года исполнен на 104,7 %, в сравнении с 2023 годом налог поступил в 1,2 раза или на </w:t>
      </w:r>
      <w:r>
        <w:t>1 263,1</w:t>
      </w:r>
      <w:r>
        <w:rPr>
          <w:rFonts w:ascii="Times New Roman" w:hAnsi="Times New Roman"/>
        </w:rPr>
        <w:t xml:space="preserve"> тыс. рублей больше, что связано с увеличением кадастровой стоимости земельных участков.</w:t>
      </w:r>
    </w:p>
    <w:p w14:paraId="20000000">
      <w:pPr>
        <w:ind w:firstLine="90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На третьем месте в структуре налоговых доходов находится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u w:color="000000" w:val="single"/>
        </w:rPr>
        <w:t>алог на доходы физических лиц</w:t>
      </w:r>
      <w:r>
        <w:rPr>
          <w:rFonts w:ascii="Times New Roman" w:hAnsi="Times New Roman"/>
        </w:rPr>
        <w:t xml:space="preserve"> на его долю приходится 19,0 процентов. Налог поступил в сумме 3 695,0 тыс. рублей, годовой план исполнен 110,7 %. В сравнении  с прошлым годом налог поступил больше на 596 тыс. рублей.</w:t>
      </w:r>
    </w:p>
    <w:p w14:paraId="21000000">
      <w:pPr>
        <w:ind w:firstLine="85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Безвозмездные поступления от других бюджетов Российской Федерации поступили в сумме 13 925,8 тыс. рублей, что составляет 41,7 процентов от всей суммы доходов. </w:t>
      </w:r>
      <w:r>
        <w:rPr>
          <w:rFonts w:ascii="Times New Roman" w:hAnsi="Times New Roman"/>
        </w:rPr>
        <w:t xml:space="preserve">В сравнении с прошлым годом безвозмездные поступления поступили на 21 % или 3 700,1 тыс. рублей меньше. </w:t>
      </w:r>
      <w:r>
        <w:rPr>
          <w:rFonts w:ascii="Times New Roman" w:hAnsi="Times New Roman"/>
        </w:rPr>
        <w:t>Наибольший удельный вес в структуре безвозмездных поступлений занимает дотация на выравнивание бюджетной обеспеченности бюджету поселения –11 719,0 тыс. рублей.</w:t>
      </w:r>
    </w:p>
    <w:p w14:paraId="2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Дотации бюджетам сельских поселений на поддержку мер по обеспечению сбалансированности бюджетов поступили в сумме 1 267,1 тыс. рублей, на 540,9 тыс. рублей больше прошлого года.</w:t>
      </w:r>
    </w:p>
    <w:p w14:paraId="23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В сумме 361,8 тыс. рублей, поступили субвенции на выполнение переданных полномочий.</w:t>
      </w:r>
    </w:p>
    <w:p w14:paraId="24000000">
      <w:pPr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 сумме 577,9 тыс. рублей поступили прочие межбюджетные трансферты для реализации инициативного проекта.</w:t>
      </w:r>
    </w:p>
    <w:p w14:paraId="25000000">
      <w:pPr>
        <w:ind w:firstLine="900" w:left="0"/>
        <w:rPr>
          <w:rFonts w:ascii="Times New Roman" w:hAnsi="Times New Roman"/>
          <w:sz w:val="24"/>
        </w:rPr>
      </w:pPr>
    </w:p>
    <w:p w14:paraId="26000000">
      <w:pPr>
        <w:ind w:firstLine="90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Задолженность по налоговым платежам в бюджет поселения на 01.01.2025 г. составила </w:t>
      </w:r>
      <w:r>
        <w:t>1 280,7</w:t>
      </w:r>
      <w:r>
        <w:rPr>
          <w:rFonts w:ascii="Times New Roman" w:hAnsi="Times New Roman"/>
        </w:rPr>
        <w:t xml:space="preserve"> тыс. рублей, в том числе:</w:t>
      </w:r>
    </w:p>
    <w:p w14:paraId="27000000">
      <w:pPr>
        <w:ind w:firstLine="85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- 187,2 тыс. рублей – налог на имущество физических лиц;</w:t>
      </w:r>
    </w:p>
    <w:p w14:paraId="28000000">
      <w:pPr>
        <w:ind w:firstLine="85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- 592,2 тыс. руб. – земельный налог;</w:t>
      </w:r>
    </w:p>
    <w:p w14:paraId="29000000">
      <w:pPr>
        <w:ind w:firstLine="85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-468,5 тыс. рублей – налог на доходы ФЛ;</w:t>
      </w:r>
    </w:p>
    <w:p w14:paraId="2A000000">
      <w:pPr>
        <w:ind w:firstLine="85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-32,8 тыс. рублей - </w:t>
      </w:r>
      <w:r>
        <w:rPr>
          <w:rFonts w:ascii="Times New Roman" w:hAnsi="Times New Roman"/>
          <w:sz w:val="28"/>
          <w:u w:val="none"/>
        </w:rPr>
        <w:t>е</w:t>
      </w:r>
      <w:r>
        <w:rPr>
          <w:rFonts w:ascii="Times New Roman" w:hAnsi="Times New Roman"/>
          <w:sz w:val="28"/>
          <w:u w:val="none"/>
        </w:rPr>
        <w:t>диный сельскохозяйственный налог.</w:t>
      </w:r>
    </w:p>
    <w:p w14:paraId="2B000000">
      <w:pPr>
        <w:rPr>
          <w:rFonts w:ascii="Times New Roman" w:hAnsi="Times New Roman"/>
          <w:sz w:val="24"/>
        </w:rPr>
      </w:pPr>
    </w:p>
    <w:p w14:paraId="2C000000">
      <w:pPr>
        <w:ind w:firstLine="85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Из всей суммы задолженности невозможна ко взысканию 846,2</w:t>
      </w:r>
      <w:r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  <w:sz w:val="24"/>
        </w:rPr>
        <w:t xml:space="preserve">: из них </w:t>
      </w:r>
    </w:p>
    <w:p w14:paraId="2D000000">
      <w:pPr>
        <w:ind w:firstLine="85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проживают на территории поселения </w:t>
      </w:r>
      <w:r>
        <w:rPr>
          <w:rFonts w:ascii="Times New Roman" w:hAnsi="Times New Roman"/>
          <w:sz w:val="28"/>
        </w:rPr>
        <w:t>- 819,2</w:t>
      </w:r>
      <w:r>
        <w:rPr>
          <w:rFonts w:ascii="Times New Roman" w:hAnsi="Times New Roman"/>
          <w:sz w:val="28"/>
        </w:rPr>
        <w:t xml:space="preserve"> тыс. рублей;</w:t>
      </w:r>
    </w:p>
    <w:p w14:paraId="2E000000">
      <w:pPr>
        <w:ind w:firstLine="85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Умершие -</w:t>
      </w:r>
      <w:r>
        <w:rPr>
          <w:rFonts w:ascii="Times New Roman" w:hAnsi="Times New Roman"/>
          <w:sz w:val="28"/>
        </w:rPr>
        <w:t xml:space="preserve"> 27,0</w:t>
      </w:r>
      <w:r>
        <w:rPr>
          <w:rFonts w:ascii="Times New Roman" w:hAnsi="Times New Roman"/>
          <w:sz w:val="28"/>
        </w:rPr>
        <w:t xml:space="preserve"> тыс. рублей.</w:t>
      </w:r>
    </w:p>
    <w:p w14:paraId="2F000000">
      <w:pPr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 целом по поселению недоимка сократилась на 482,3 тыс. рублей.</w:t>
      </w:r>
    </w:p>
    <w:p w14:paraId="30000000">
      <w:pPr>
        <w:ind w:firstLine="851" w:left="0"/>
        <w:rPr>
          <w:rFonts w:ascii="Times New Roman" w:hAnsi="Times New Roman"/>
          <w:sz w:val="24"/>
        </w:rPr>
      </w:pPr>
    </w:p>
    <w:p w14:paraId="31000000">
      <w:pPr>
        <w:ind w:firstLine="90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Вопрос сокращения  недоимки находится на постоянном контроле, от этого зависит наполняемость бюджета поселения.</w:t>
      </w:r>
    </w:p>
    <w:p w14:paraId="32000000">
      <w:pPr>
        <w:ind w:firstLine="90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12121"/>
        </w:rPr>
        <w:t>Специалистами администрации ведется активная работа по сокращению задолженности.</w:t>
      </w:r>
    </w:p>
    <w:p w14:paraId="33000000">
      <w:pPr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 целях погашения недоимки в бюджет поселения проведена следующая работа: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информирование население о необходимости уплаты налогов через радиогазеты, направленные писем в организации, распространение листовок, общение инспектора с населением,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вручено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936 </w:t>
      </w:r>
      <w:r>
        <w:rPr>
          <w:rFonts w:ascii="Times New Roman" w:hAnsi="Times New Roman"/>
          <w:sz w:val="28"/>
        </w:rPr>
        <w:t>извещений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б уплате налога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</w:rPr>
        <w:t xml:space="preserve"> систематическое проведение заседаний Координационного совета по вопросам собираемости налогов и других обязательных платежей, проведено 6 заседаний, на которые  приглашено 71 налогоплательщик,  в результате погашена недоимка на сумму 255,4 тыс. рублей.</w:t>
      </w:r>
    </w:p>
    <w:p w14:paraId="34000000">
      <w:pPr>
        <w:ind w:firstLine="90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35000000">
      <w:pPr>
        <w:ind w:firstLine="90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 соответствии с действующим законодательством определенная категория граждан освобождена от налоговой обязанности полностью или частично, но предоставление льготы носит заявительный характер. Для ее оформления необходимо обратиться в налоговую инспекцию или в Администрацию  поселения к сотруднику по налогам в рабочие дни.</w:t>
      </w:r>
    </w:p>
    <w:p w14:paraId="36000000">
      <w:pPr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37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Бюджетная политика </w:t>
      </w:r>
      <w:r>
        <w:rPr>
          <w:rFonts w:ascii="Times New Roman" w:hAnsi="Times New Roman"/>
          <w:sz w:val="28"/>
        </w:rPr>
        <w:t>Кринично-Лугского</w:t>
      </w:r>
      <w:r>
        <w:rPr>
          <w:rFonts w:ascii="Times New Roman" w:hAnsi="Times New Roman"/>
          <w:sz w:val="28"/>
        </w:rPr>
        <w:t xml:space="preserve"> сельского поселения направлена на обеспечение социально-экономического развития поселения при одновременном обеспечении устойчивости и сбалансированности бюджетной системы. В первоочередном порядке в полном об</w:t>
      </w:r>
      <w:r>
        <w:rPr>
          <w:rFonts w:ascii="Times New Roman" w:hAnsi="Times New Roman"/>
          <w:sz w:val="28"/>
        </w:rPr>
        <w:t xml:space="preserve">ъеме были исполнены первоочередные социально - значимые расходы </w:t>
      </w:r>
      <w:r>
        <w:rPr>
          <w:rFonts w:ascii="Times New Roman" w:hAnsi="Times New Roman"/>
          <w:i w:val="1"/>
          <w:color w:val="000000"/>
          <w:sz w:val="32"/>
        </w:rPr>
        <w:t>(</w:t>
      </w:r>
      <w:r>
        <w:rPr>
          <w:rFonts w:ascii="Times New Roman" w:hAnsi="Times New Roman"/>
          <w:i w:val="0"/>
          <w:color w:val="000000"/>
          <w:sz w:val="28"/>
        </w:rPr>
        <w:t>на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выплату заработной платы с начислениями, взносы по обязательному социальному страхованию, на выплаты денежного содержания и иные выплаты работникам, оплату коммунальных услуг, услуг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связи, котельного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и печного топлива, горюче-смазочных материалов, уплату налогов и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сборов) в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сумме 25 </w:t>
      </w:r>
      <w:r>
        <w:rPr>
          <w:rFonts w:ascii="Times New Roman" w:hAnsi="Times New Roman"/>
          <w:i w:val="0"/>
          <w:color w:val="000000"/>
          <w:sz w:val="28"/>
        </w:rPr>
        <w:t>899,4 тыс. рублей (87,1%) от всей суммы расходов</w:t>
      </w:r>
      <w:r>
        <w:rPr>
          <w:rFonts w:ascii="Times New Roman" w:hAnsi="Times New Roman"/>
          <w:i w:val="0"/>
          <w:sz w:val="28"/>
        </w:rPr>
        <w:t>)</w:t>
      </w:r>
      <w:r>
        <w:rPr>
          <w:rFonts w:ascii="Times New Roman" w:hAnsi="Times New Roman"/>
          <w:i w:val="0"/>
          <w:sz w:val="28"/>
        </w:rPr>
        <w:t>.</w:t>
      </w:r>
    </w:p>
    <w:p w14:paraId="38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на оплату труда органа местного самоуправления 20,75 штатных единиц и подведомственного учреждения культуры 13,2 штатных единицы составили </w:t>
      </w:r>
      <w:r>
        <w:rPr>
          <w:rFonts w:ascii="Times New Roman" w:hAnsi="Times New Roman"/>
        </w:rPr>
        <w:t>18 398,3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 р</w:t>
      </w:r>
      <w:r>
        <w:rPr>
          <w:rFonts w:ascii="Times New Roman" w:hAnsi="Times New Roman"/>
          <w:sz w:val="28"/>
        </w:rPr>
        <w:t>ублей</w:t>
      </w:r>
      <w:r>
        <w:rPr>
          <w:rFonts w:ascii="Times New Roman" w:hAnsi="Times New Roman"/>
          <w:sz w:val="28"/>
        </w:rPr>
        <w:t xml:space="preserve"> или 61,9 </w:t>
      </w:r>
      <w:r>
        <w:rPr>
          <w:rFonts w:ascii="Times New Roman" w:hAnsi="Times New Roman"/>
          <w:sz w:val="28"/>
        </w:rPr>
        <w:t>% от общей суммы расходов. Расходы на оплату коммунальных услу</w:t>
      </w:r>
      <w:r>
        <w:rPr>
          <w:rFonts w:ascii="Times New Roman" w:hAnsi="Times New Roman"/>
          <w:sz w:val="28"/>
        </w:rPr>
        <w:t>г (в том числе уличное освещение) в сумме 6 130,7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 или 20,6 % от общей суммы расходов.</w:t>
      </w:r>
    </w:p>
    <w:p w14:paraId="39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структуре расходов </w:t>
      </w:r>
      <w:r>
        <w:rPr>
          <w:rFonts w:ascii="Times New Roman" w:hAnsi="Times New Roman"/>
        </w:rPr>
        <w:t>расходы по разделу культура составили 15 227,7 тыс. рублей (51,2 %) от общей суммы расходов, средства направлены на обеспечение деятельности учреждения культуры для выполнения муниципального задания и изготовление проектноизыскательских работ для капитального ремонта СК в с. Миллерово.</w:t>
      </w:r>
    </w:p>
    <w:p w14:paraId="3A000000">
      <w:pPr>
        <w:ind w:firstLine="850" w:left="0"/>
        <w:jc w:val="both"/>
        <w:rPr>
          <w:sz w:val="28"/>
        </w:rPr>
      </w:pP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Основные направления  расходов местного бюджета: </w:t>
      </w:r>
    </w:p>
    <w:p w14:paraId="3C000000">
      <w:pPr>
        <w:numPr>
          <w:ilvl w:val="0"/>
          <w:numId w:val="2"/>
        </w:numPr>
        <w:ind w:firstLine="709" w:left="495"/>
        <w:jc w:val="both"/>
        <w:rPr>
          <w:sz w:val="28"/>
        </w:rPr>
      </w:pPr>
      <w:r>
        <w:rPr>
          <w:sz w:val="28"/>
        </w:rPr>
        <w:t xml:space="preserve">общегосударственные вопросы – </w:t>
      </w:r>
      <w:r>
        <w:rPr>
          <w:rFonts w:ascii="Times New Roman" w:hAnsi="Times New Roman"/>
        </w:rPr>
        <w:t xml:space="preserve">11 118,5 тыс. рублей </w:t>
      </w:r>
      <w:r>
        <w:rPr>
          <w:rFonts w:ascii="Times New Roman" w:hAnsi="Times New Roman"/>
        </w:rPr>
        <w:t xml:space="preserve">(37,4 %) </w:t>
      </w:r>
      <w:r>
        <w:rPr>
          <w:sz w:val="28"/>
        </w:rPr>
        <w:t>от общей суммы расходов</w:t>
      </w:r>
      <w:r>
        <w:rPr>
          <w:sz w:val="28"/>
        </w:rPr>
        <w:t>;</w:t>
      </w:r>
    </w:p>
    <w:p w14:paraId="3D000000">
      <w:pPr>
        <w:numPr>
          <w:ilvl w:val="0"/>
          <w:numId w:val="2"/>
        </w:numPr>
        <w:ind w:firstLine="709" w:left="495"/>
        <w:jc w:val="both"/>
        <w:rPr>
          <w:sz w:val="28"/>
        </w:rPr>
      </w:pPr>
      <w:r>
        <w:rPr>
          <w:sz w:val="28"/>
        </w:rPr>
        <w:t>национальная оборона - 361,6</w:t>
      </w:r>
      <w:r>
        <w:rPr>
          <w:sz w:val="28"/>
        </w:rPr>
        <w:t xml:space="preserve"> тыс. рублей</w:t>
      </w:r>
      <w:r>
        <w:rPr>
          <w:sz w:val="28"/>
        </w:rPr>
        <w:t xml:space="preserve"> </w:t>
      </w:r>
      <w:r>
        <w:rPr>
          <w:sz w:val="28"/>
        </w:rPr>
        <w:t>или 1,2 %</w:t>
      </w:r>
      <w:r>
        <w:rPr>
          <w:sz w:val="28"/>
        </w:rPr>
        <w:t>;</w:t>
      </w:r>
    </w:p>
    <w:p w14:paraId="3E000000">
      <w:pPr>
        <w:numPr>
          <w:ilvl w:val="0"/>
          <w:numId w:val="2"/>
        </w:numPr>
        <w:ind w:firstLine="709" w:left="495"/>
        <w:jc w:val="both"/>
        <w:rPr>
          <w:sz w:val="28"/>
        </w:rPr>
      </w:pPr>
      <w:r>
        <w:rPr>
          <w:sz w:val="28"/>
        </w:rPr>
        <w:t>национальная безопасность и пра</w:t>
      </w:r>
      <w:r>
        <w:rPr>
          <w:sz w:val="28"/>
        </w:rPr>
        <w:t xml:space="preserve">воохранительная деятельность – 49,3 тыс. рублей </w:t>
      </w:r>
      <w:r>
        <w:rPr>
          <w:sz w:val="28"/>
        </w:rPr>
        <w:t>или 0,2 %</w:t>
      </w:r>
      <w:r>
        <w:rPr>
          <w:sz w:val="28"/>
        </w:rPr>
        <w:t>;</w:t>
      </w:r>
    </w:p>
    <w:p w14:paraId="3F000000">
      <w:pPr>
        <w:numPr>
          <w:ilvl w:val="0"/>
          <w:numId w:val="2"/>
        </w:numPr>
        <w:ind w:firstLine="709" w:left="495"/>
        <w:jc w:val="both"/>
        <w:rPr>
          <w:sz w:val="28"/>
        </w:rPr>
      </w:pPr>
      <w:r>
        <w:rPr>
          <w:sz w:val="28"/>
        </w:rPr>
        <w:t xml:space="preserve">национальная экономика - 3,3 тыс. рублей </w:t>
      </w:r>
      <w:r>
        <w:rPr>
          <w:sz w:val="28"/>
        </w:rPr>
        <w:t>или 0,01 %</w:t>
      </w:r>
      <w:r>
        <w:rPr>
          <w:sz w:val="28"/>
        </w:rPr>
        <w:t xml:space="preserve">; </w:t>
      </w:r>
    </w:p>
    <w:p w14:paraId="40000000">
      <w:pPr>
        <w:numPr>
          <w:ilvl w:val="0"/>
          <w:numId w:val="2"/>
        </w:numPr>
        <w:ind w:firstLine="709" w:left="495"/>
        <w:jc w:val="both"/>
        <w:rPr>
          <w:sz w:val="28"/>
        </w:rPr>
      </w:pPr>
      <w:r>
        <w:rPr>
          <w:sz w:val="28"/>
        </w:rPr>
        <w:t xml:space="preserve">жилищно-коммунальное хозяйство - </w:t>
      </w:r>
      <w:r>
        <w:rPr>
          <w:rFonts w:ascii="Times New Roman" w:hAnsi="Times New Roman"/>
        </w:rPr>
        <w:t xml:space="preserve">2 768,4 тыс. рублей (9,3%) </w:t>
      </w:r>
      <w:r>
        <w:rPr>
          <w:sz w:val="28"/>
        </w:rPr>
        <w:t xml:space="preserve">; </w:t>
      </w:r>
    </w:p>
    <w:p w14:paraId="41000000">
      <w:pPr>
        <w:numPr>
          <w:ilvl w:val="0"/>
          <w:numId w:val="2"/>
        </w:numPr>
        <w:ind w:firstLine="709" w:left="495"/>
        <w:jc w:val="both"/>
        <w:rPr>
          <w:sz w:val="28"/>
        </w:rPr>
      </w:pPr>
      <w:r>
        <w:rPr>
          <w:sz w:val="28"/>
        </w:rPr>
        <w:t>охрана окружающей среды – 35,0 тыс. рублей или 0,05 %;</w:t>
      </w:r>
    </w:p>
    <w:p w14:paraId="42000000">
      <w:pPr>
        <w:numPr>
          <w:ilvl w:val="0"/>
          <w:numId w:val="2"/>
        </w:numPr>
        <w:ind w:firstLine="709" w:left="495"/>
        <w:jc w:val="both"/>
        <w:rPr>
          <w:sz w:val="28"/>
        </w:rPr>
      </w:pPr>
      <w:r>
        <w:rPr>
          <w:sz w:val="28"/>
        </w:rPr>
        <w:t>образование - 5,0 тыс. руб</w:t>
      </w:r>
      <w:r>
        <w:rPr>
          <w:sz w:val="28"/>
        </w:rPr>
        <w:t xml:space="preserve">лей или 0,02%; </w:t>
      </w:r>
    </w:p>
    <w:p w14:paraId="43000000">
      <w:pPr>
        <w:numPr>
          <w:ilvl w:val="0"/>
          <w:numId w:val="2"/>
        </w:numPr>
        <w:ind w:firstLine="709" w:left="495"/>
        <w:jc w:val="both"/>
        <w:rPr>
          <w:sz w:val="28"/>
        </w:rPr>
      </w:pPr>
      <w:r>
        <w:rPr>
          <w:sz w:val="28"/>
        </w:rPr>
        <w:t>культура, кинематография –</w:t>
      </w:r>
      <w:r>
        <w:rPr>
          <w:rFonts w:ascii="Times New Roman" w:hAnsi="Times New Roman"/>
        </w:rPr>
        <w:t>15 227,7 тыс. рублей (51,2 %)</w:t>
      </w:r>
      <w:r>
        <w:rPr>
          <w:sz w:val="28"/>
        </w:rPr>
        <w:t xml:space="preserve">; </w:t>
      </w:r>
    </w:p>
    <w:p w14:paraId="44000000">
      <w:pPr>
        <w:numPr>
          <w:ilvl w:val="0"/>
          <w:numId w:val="2"/>
        </w:numPr>
        <w:ind w:firstLine="709" w:left="495"/>
        <w:jc w:val="both"/>
        <w:rPr>
          <w:sz w:val="28"/>
        </w:rPr>
      </w:pPr>
      <w:r>
        <w:rPr>
          <w:sz w:val="28"/>
        </w:rPr>
        <w:t xml:space="preserve">социальная политика - 156,2 </w:t>
      </w:r>
      <w:r>
        <w:rPr>
          <w:sz w:val="28"/>
        </w:rPr>
        <w:t>тыс</w:t>
      </w:r>
      <w:r>
        <w:rPr>
          <w:sz w:val="28"/>
        </w:rPr>
        <w:t>.р</w:t>
      </w:r>
      <w:r>
        <w:rPr>
          <w:sz w:val="28"/>
        </w:rPr>
        <w:t>ублей или 0,5 %</w:t>
      </w:r>
      <w:r>
        <w:rPr>
          <w:sz w:val="28"/>
        </w:rPr>
        <w:t>;</w:t>
      </w:r>
    </w:p>
    <w:p w14:paraId="45000000">
      <w:pPr>
        <w:numPr>
          <w:ilvl w:val="0"/>
          <w:numId w:val="2"/>
        </w:numPr>
        <w:ind w:firstLine="709" w:left="495"/>
        <w:jc w:val="both"/>
        <w:rPr>
          <w:sz w:val="28"/>
        </w:rPr>
      </w:pPr>
      <w:r>
        <w:rPr>
          <w:sz w:val="28"/>
        </w:rPr>
        <w:t>физическая культура и спорт - 8,9 тыс. рублей или 0,03 %.</w:t>
      </w:r>
    </w:p>
    <w:p w14:paraId="46000000">
      <w:pPr>
        <w:ind w:firstLine="851" w:left="0"/>
        <w:jc w:val="both"/>
        <w:rPr>
          <w:sz w:val="28"/>
        </w:rPr>
      </w:pPr>
    </w:p>
    <w:p w14:paraId="47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Расходы бюджета поселения представлены программно-целевым методом расходования </w:t>
      </w:r>
      <w:r>
        <w:rPr>
          <w:sz w:val="28"/>
        </w:rPr>
        <w:t>бюджетных средств, на основе утвержденных Администрацией поселения 11 муниципальных программ. На их реализацию направлено 28 729,2 тыс. рублей, что составляет 98,6 процента к годовым плановым назначениям или 96,6 процента от всех расходов бюджета поселения.</w:t>
      </w:r>
    </w:p>
    <w:p w14:paraId="48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В бюджете поселения по состоянию на 01 января 2025 года отсутствует просроченная кредиторская задолженность. </w:t>
      </w:r>
    </w:p>
    <w:p w14:paraId="49000000">
      <w:pPr>
        <w:ind w:firstLine="851" w:left="0"/>
        <w:rPr>
          <w:rFonts w:ascii="Times New Roman" w:hAnsi="Times New Roman"/>
          <w:sz w:val="24"/>
        </w:rPr>
      </w:pPr>
    </w:p>
    <w:p w14:paraId="4A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Расходование бюджета поселения исполнено по следующим направлениям расходов:</w:t>
      </w:r>
    </w:p>
    <w:p w14:paraId="4B000000">
      <w:pPr>
        <w:ind w:firstLine="90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ОБЩЕГОСУДАРСТВЕННЫЕ ВОПРОСЫ</w:t>
      </w:r>
    </w:p>
    <w:p w14:paraId="4C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Расходы по этому разделу составили 11 118,5 тыс. рублей </w:t>
      </w:r>
      <w:r>
        <w:rPr>
          <w:rFonts w:ascii="Times New Roman" w:hAnsi="Times New Roman"/>
        </w:rPr>
        <w:t>(37,4 %) от общей суммы расходов, в сравнении с прошлым годом на 340,9 тыс. рублей</w:t>
      </w:r>
      <w:r>
        <w:rPr>
          <w:rFonts w:ascii="Times New Roman" w:hAnsi="Times New Roman"/>
        </w:rPr>
        <w:t>, больше, средства направлены на:</w:t>
      </w:r>
    </w:p>
    <w:p w14:paraId="4D000000">
      <w:pPr>
        <w:ind w:firstLine="851" w:left="0"/>
        <w:rPr>
          <w:rFonts w:ascii="Times New Roman" w:hAnsi="Times New Roman"/>
          <w:b w:val="1"/>
          <w:i w:val="0"/>
          <w:sz w:val="28"/>
          <w:shd w:fill="FFD821" w:val="clear"/>
        </w:rPr>
      </w:pPr>
      <w:r>
        <w:rPr>
          <w:rFonts w:ascii="Times New Roman" w:hAnsi="Times New Roman"/>
          <w:b w:val="1"/>
          <w:i w:val="0"/>
          <w:sz w:val="28"/>
        </w:rPr>
        <w:t>содержание аппарата</w:t>
      </w:r>
      <w:r>
        <w:rPr>
          <w:rFonts w:ascii="Times New Roman" w:hAnsi="Times New Roman"/>
          <w:b w:val="1"/>
          <w:i w:val="0"/>
          <w:sz w:val="28"/>
        </w:rPr>
        <w:t xml:space="preserve"> в су</w:t>
      </w:r>
      <w:r>
        <w:rPr>
          <w:rFonts w:ascii="Times New Roman" w:hAnsi="Times New Roman"/>
          <w:b w:val="1"/>
          <w:i w:val="0"/>
          <w:sz w:val="28"/>
        </w:rPr>
        <w:t>мме 10 519,9 тыс. рублей, в сравнении с прошлым годом на 124,8 тыс. рублей больше.</w:t>
      </w:r>
    </w:p>
    <w:p w14:paraId="4E000000">
      <w:pPr>
        <w:ind w:firstLine="851" w:left="0"/>
        <w:jc w:val="both"/>
        <w:rPr>
          <w:sz w:val="24"/>
        </w:rPr>
      </w:pPr>
    </w:p>
    <w:p w14:paraId="4F000000">
      <w:pPr>
        <w:numPr>
          <w:numId w:val="3"/>
        </w:numPr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Расходы направлены функционирование </w:t>
      </w:r>
      <w:r>
        <w:rPr>
          <w:rFonts w:ascii="Times New Roman" w:hAnsi="Times New Roman"/>
          <w:b w:val="0"/>
          <w:sz w:val="28"/>
        </w:rPr>
        <w:t>представительных органов муниципальных образований</w:t>
      </w:r>
      <w:r>
        <w:rPr>
          <w:rFonts w:ascii="Times New Roman" w:hAnsi="Times New Roman"/>
          <w:b w:val="0"/>
          <w:sz w:val="28"/>
        </w:rPr>
        <w:t xml:space="preserve"> (Собрание депутатов) в сумме 253,1 тыс. рублей (расходы на выплату заработной платы и начислений на заработную плату 0,5 штатных единиц в сумме 246,1 тыс. рублей, на приобретение программного обеспечения Контур в сумме 7,0 тыс. рублей).</w:t>
      </w:r>
    </w:p>
    <w:p w14:paraId="50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2. Расходы направлены на ф</w:t>
      </w:r>
      <w:r>
        <w:rPr>
          <w:rFonts w:ascii="Times New Roman" w:hAnsi="Times New Roman"/>
          <w:b w:val="0"/>
          <w:sz w:val="28"/>
        </w:rPr>
        <w:t>ункционирование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Администраций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поселения в сумме 10 267,1 тыс. рублей:</w:t>
      </w:r>
    </w:p>
    <w:p w14:paraId="51000000">
      <w:pPr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  <w:u w:color="000000" w:val="single"/>
        </w:rPr>
        <w:t>асходы по обеспечению пожарной безопасности</w:t>
      </w:r>
      <w:r>
        <w:rPr>
          <w:rFonts w:ascii="Times New Roman" w:hAnsi="Times New Roman"/>
          <w:sz w:val="28"/>
        </w:rPr>
        <w:t xml:space="preserve"> в сумме 81,3 тыс. рублей (расходы на содержание пожарной сигнализации в здании Администрации поселения 24 тыс. рублей, испытание электропроводки в сумме 11,9 тыс. рублей.</w:t>
      </w:r>
      <w:r>
        <w:rPr>
          <w:rFonts w:ascii="Times New Roman" w:hAnsi="Times New Roman"/>
          <w:sz w:val="28"/>
        </w:rPr>
        <w:t xml:space="preserve"> </w:t>
      </w:r>
    </w:p>
    <w:p w14:paraId="52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 w:val="single"/>
        </w:rPr>
        <w:t>расходы по оплате труда и начисления на выплаты по оплате труда</w:t>
      </w:r>
      <w:r>
        <w:rPr>
          <w:rFonts w:ascii="Times New Roman" w:hAnsi="Times New Roman"/>
          <w:sz w:val="28"/>
        </w:rPr>
        <w:t xml:space="preserve"> руководства и работников Администрации сельского поселения 20,25 штатных единиц составили в сумме 8 875,3 тыс. рублей, план исполнен на 99,4 процента;</w:t>
      </w:r>
    </w:p>
    <w:p w14:paraId="53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 w:val="single"/>
        </w:rPr>
        <w:t>расходы на обеспечение функций</w:t>
      </w:r>
      <w:r>
        <w:rPr>
          <w:rFonts w:ascii="Times New Roman" w:hAnsi="Times New Roman"/>
          <w:sz w:val="28"/>
        </w:rPr>
        <w:t xml:space="preserve"> Администрации поселения в сумме 1 126,0 тыс. рублей, план исполнен на 83,9 % к годовым назначениям, из них:  услуги связи 60,4 тыс. рублей, коммунальные услуги 485,5 тыс. рублей; работы и услуги по содержанию имущества – 131,7 тыс. рублей (дератизация, техобслуживание автомобилей, газового оборудования, вентиляционных каналов, демонтаж, изготовление и установка пластиковых окон в Административном здании в х. Новая Надежда, ), приобретение ГСМ в сумме 204,6 тыс. рублей, прочие работы в сумме 77,1 тыс. рублей (медосмотр водителей, инвентаризация котельных), материальные запасы в сумме 148,3 тыс. рублей (канцелярские товары-38,9 тыс. рублей, запас. части авто 29,8тыс. рублей, запасные части оргтехники 66,4), основные средства в сумме 8,6 тыс. рублей бухгалтерский сейф, страхование автомобилей 9,8 тыс. рублей.</w:t>
      </w:r>
    </w:p>
    <w:p w14:paraId="54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расходы по диспансеризации</w:t>
      </w:r>
      <w:r>
        <w:rPr>
          <w:rFonts w:ascii="Times New Roman" w:hAnsi="Times New Roman"/>
          <w:sz w:val="28"/>
        </w:rPr>
        <w:t xml:space="preserve"> 7 муниципальных служащих составили в сумме 21,7 тыс. рублей.</w:t>
      </w:r>
    </w:p>
    <w:p w14:paraId="55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 w:val="single"/>
        </w:rPr>
        <w:t>расходы по уплате налогов</w:t>
      </w:r>
      <w:r>
        <w:rPr>
          <w:rFonts w:ascii="Times New Roman" w:hAnsi="Times New Roman"/>
          <w:sz w:val="28"/>
        </w:rPr>
        <w:t xml:space="preserve"> (земельного, транспортного) в сумме 162,5 тыс. рублей.</w:t>
      </w:r>
    </w:p>
    <w:p w14:paraId="56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расходы</w:t>
      </w:r>
      <w:r>
        <w:rPr>
          <w:rFonts w:ascii="Times New Roman" w:hAnsi="Times New Roman"/>
          <w:sz w:val="28"/>
        </w:rPr>
        <w:t xml:space="preserve"> на приобретение канц.товаров для административной комиссии </w:t>
      </w:r>
      <w:r>
        <w:rPr>
          <w:rFonts w:ascii="Times New Roman" w:hAnsi="Times New Roman"/>
          <w:sz w:val="28"/>
          <w:u w:val="single"/>
        </w:rPr>
        <w:t>на осуществление полномочий по административным правонарушениям</w:t>
      </w:r>
      <w:r>
        <w:rPr>
          <w:rFonts w:ascii="Times New Roman" w:hAnsi="Times New Roman"/>
          <w:sz w:val="28"/>
        </w:rPr>
        <w:t xml:space="preserve"> составили в сумме 0,2 тыс. рублей.</w:t>
      </w:r>
    </w:p>
    <w:p w14:paraId="57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 xml:space="preserve"> составили в сумме 598,4 тыс. рублей:</w:t>
      </w:r>
    </w:p>
    <w:p w14:paraId="58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 w:val="single"/>
        </w:rPr>
        <w:t>расходы по информационным услугам</w:t>
      </w:r>
      <w:r>
        <w:rPr>
          <w:rFonts w:ascii="Times New Roman" w:hAnsi="Times New Roman"/>
          <w:sz w:val="28"/>
        </w:rPr>
        <w:t xml:space="preserve">   в сумме 357,7 тыс. рублей. Расходы направлены на получение информационных услуг Консультант+, обслуживание сайта, программное обеспечение, средства защиты информации, Контур, 1-С бухгалтерия.</w:t>
      </w:r>
    </w:p>
    <w:p w14:paraId="59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 w:val="single"/>
        </w:rPr>
        <w:t>расходы по уплате налогов</w:t>
      </w:r>
      <w:r>
        <w:rPr>
          <w:rFonts w:ascii="Times New Roman" w:hAnsi="Times New Roman"/>
          <w:sz w:val="28"/>
        </w:rPr>
        <w:t>(транспортного) составили в сумме 5,9 тыс. рублей.</w:t>
      </w:r>
    </w:p>
    <w:p w14:paraId="5A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 w:val="single"/>
        </w:rPr>
        <w:t>расходы по иным межбюджетным трансфертам</w:t>
      </w:r>
      <w:r>
        <w:rPr>
          <w:rFonts w:ascii="Times New Roman" w:hAnsi="Times New Roman"/>
          <w:sz w:val="28"/>
        </w:rPr>
        <w:t xml:space="preserve"> составили в сумме 121,5 тыс. рублей. Средства направлены на передачу полномочий по внутреннему муниципальному финансовому контролю в финансовый отдел Администрации Куйбышевского района.</w:t>
      </w:r>
    </w:p>
    <w:p w14:paraId="5B000000">
      <w:pPr>
        <w:ind w:firstLine="9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 w:val="single"/>
        </w:rPr>
        <w:t>прочие  расходы</w:t>
      </w:r>
      <w:r>
        <w:rPr>
          <w:rFonts w:ascii="Times New Roman" w:hAnsi="Times New Roman"/>
          <w:sz w:val="28"/>
        </w:rPr>
        <w:t xml:space="preserve"> в сумме 20,0 тыс. рублей. Средства направлены на уплату членских взносов в СМО РО.</w:t>
      </w:r>
    </w:p>
    <w:p w14:paraId="5C000000">
      <w:pPr>
        <w:ind w:firstLine="9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 w:val="single"/>
        </w:rPr>
        <w:t>прочие  расходы</w:t>
      </w:r>
      <w:r>
        <w:rPr>
          <w:rFonts w:ascii="Times New Roman" w:hAnsi="Times New Roman"/>
          <w:sz w:val="28"/>
        </w:rPr>
        <w:t xml:space="preserve"> в сумме 23,5 тыс. рублей. Средства направлены на приобретение венков к мероприятиям памяти времен ВОВ.  </w:t>
      </w:r>
    </w:p>
    <w:p w14:paraId="5D000000">
      <w:pPr>
        <w:ind w:firstLine="9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Расходы на мероприятия по усилению антитеррористическ</w:t>
      </w:r>
      <w:r>
        <w:rPr>
          <w:rFonts w:ascii="Times New Roman" w:hAnsi="Times New Roman"/>
          <w:sz w:val="28"/>
        </w:rPr>
        <w:t>ой защищённости объектов социального назначения в сумме 2,0 тыс. рублей, средства направлены на приобретение стенда.</w:t>
      </w:r>
    </w:p>
    <w:p w14:paraId="5E000000">
      <w:pPr>
        <w:ind w:firstLine="9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Расходы по оценке муниципального имущества</w:t>
      </w:r>
      <w:r>
        <w:rPr>
          <w:rFonts w:ascii="Times New Roman" w:hAnsi="Times New Roman"/>
          <w:sz w:val="28"/>
        </w:rPr>
        <w:t>, признание прав и регулирование отношений по муниципальной собственности составили в сумме 64,4 тыс. рублей. Расходы направлены на проведение оценки муниципального имущества и инвентаризацию кладбища.</w:t>
      </w:r>
    </w:p>
    <w:p w14:paraId="5F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60000000">
      <w:pPr>
        <w:ind w:firstLine="90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НАЦИОНАЛЬНАЯ  ОБОРОНА</w:t>
      </w:r>
    </w:p>
    <w:p w14:paraId="61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Расходы на осуществление первичного воинского учета</w:t>
      </w:r>
      <w:r>
        <w:rPr>
          <w:rFonts w:ascii="Times New Roman" w:hAnsi="Times New Roman"/>
          <w:sz w:val="28"/>
        </w:rPr>
        <w:t xml:space="preserve"> органами местного самоуправления поселения в сумме 361,6 тыс. рублей (расходы направлены на выплату заработной платы и начисления по оплате труда в сумме 358,5 тыс. рублей, приобретение канцелярских товаров в сумме 3,1,8 тыс. рублей).</w:t>
      </w:r>
    </w:p>
    <w:p w14:paraId="62000000">
      <w:pPr>
        <w:ind w:firstLine="900" w:left="0"/>
        <w:jc w:val="both"/>
        <w:rPr>
          <w:rFonts w:ascii="Times New Roman" w:hAnsi="Times New Roman"/>
          <w:sz w:val="28"/>
        </w:rPr>
      </w:pPr>
    </w:p>
    <w:p w14:paraId="63000000">
      <w:pPr>
        <w:ind w:firstLine="90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НАЦИОНАЛЬНАЯ БЕЗОПАСНОСТЬ И ПРАВООХРАНИТЕЛЬНАЯ ДЕЯТЕЛЬНОСТЬ</w:t>
      </w:r>
    </w:p>
    <w:p w14:paraId="64000000">
      <w:pPr>
        <w:ind w:firstLine="9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  <w:u w:val="single"/>
        </w:rPr>
        <w:t>асходы направлены на обеспечение мероприятий пожарной безопасности</w:t>
      </w:r>
      <w:r>
        <w:rPr>
          <w:rFonts w:ascii="Times New Roman" w:hAnsi="Times New Roman"/>
          <w:sz w:val="28"/>
        </w:rPr>
        <w:t xml:space="preserve"> в сумме 49,3 тыс. рублей (средства израсходованы на противопожарную опашку территории и приобретение запасных чпстей средств пожаротушения). </w:t>
      </w:r>
    </w:p>
    <w:p w14:paraId="65000000">
      <w:pPr>
        <w:ind w:firstLine="900" w:left="0"/>
        <w:jc w:val="both"/>
        <w:rPr>
          <w:rFonts w:ascii="Times New Roman" w:hAnsi="Times New Roman"/>
          <w:sz w:val="28"/>
        </w:rPr>
      </w:pPr>
    </w:p>
    <w:p w14:paraId="66000000">
      <w:pPr>
        <w:ind w:firstLine="90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НАЦИОНАЛЬНАЯ ЭКОНОМИКА</w:t>
      </w:r>
    </w:p>
    <w:p w14:paraId="67000000">
      <w:pPr>
        <w:ind w:firstLine="9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по оценке муниципального имущества, признание прав и регулирование отношений по муниципальной собственности составили в сумме 3,3 тыс. рублей. Расходы направлены на нанесение границ земельном участке. </w:t>
      </w:r>
    </w:p>
    <w:p w14:paraId="68000000">
      <w:pPr>
        <w:ind w:firstLine="900" w:left="0"/>
        <w:jc w:val="both"/>
        <w:rPr>
          <w:rFonts w:ascii="Times New Roman" w:hAnsi="Times New Roman"/>
          <w:sz w:val="28"/>
        </w:rPr>
      </w:pPr>
    </w:p>
    <w:p w14:paraId="69000000">
      <w:pPr>
        <w:ind w:firstLine="90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ЖИЛИЩНО-КОММУНАЛЬНОЕ ХОЗЯЙСТВО</w:t>
      </w:r>
    </w:p>
    <w:p w14:paraId="6A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составили в сумме 2 768,4 тыс. рублей </w:t>
      </w:r>
      <w:r>
        <w:rPr>
          <w:rFonts w:ascii="Times New Roman" w:hAnsi="Times New Roman"/>
          <w:sz w:val="28"/>
        </w:rPr>
        <w:t>(9,3%) от общей суммы расходов.</w:t>
      </w:r>
    </w:p>
    <w:p w14:paraId="6B000000">
      <w:pPr>
        <w:ind w:firstLine="851" w:left="0"/>
        <w:jc w:val="center"/>
        <w:rPr>
          <w:rFonts w:ascii="Times New Roman" w:hAnsi="Times New Roman"/>
          <w:sz w:val="28"/>
        </w:rPr>
      </w:pPr>
    </w:p>
    <w:p w14:paraId="6C000000">
      <w:pPr>
        <w:ind w:firstLine="851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разделу </w:t>
      </w:r>
      <w:r>
        <w:rPr>
          <w:rFonts w:ascii="Times New Roman" w:hAnsi="Times New Roman"/>
          <w:sz w:val="28"/>
          <w:u w:val="single"/>
        </w:rPr>
        <w:t>Коммунальное хозяйство</w:t>
      </w:r>
      <w:r>
        <w:rPr>
          <w:rFonts w:ascii="Times New Roman" w:hAnsi="Times New Roman"/>
          <w:sz w:val="28"/>
        </w:rPr>
        <w:t xml:space="preserve"> </w:t>
      </w:r>
    </w:p>
    <w:p w14:paraId="6D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none"/>
        </w:rPr>
        <w:t xml:space="preserve">Расходы направлены на </w:t>
      </w:r>
      <w:r>
        <w:rPr>
          <w:rFonts w:ascii="Times New Roman" w:hAnsi="Times New Roman"/>
          <w:sz w:val="28"/>
          <w:u w:val="single"/>
        </w:rPr>
        <w:t>Содержание и ремонт газового хозяйства</w:t>
      </w:r>
      <w:r>
        <w:rPr>
          <w:rFonts w:ascii="Times New Roman" w:hAnsi="Times New Roman"/>
          <w:sz w:val="28"/>
        </w:rPr>
        <w:t xml:space="preserve"> в сумме 12,8 тыс. рублей (техническое обслуживание и ремонт объектов газового хозяйства в х. Карташево).</w:t>
      </w:r>
    </w:p>
    <w:p w14:paraId="6E000000">
      <w:pPr>
        <w:numPr>
          <w:numId w:val="4"/>
        </w:numPr>
        <w:ind w:firstLine="851" w:left="0"/>
        <w:jc w:val="center"/>
        <w:rPr>
          <w:rFonts w:ascii="Times New Roman" w:hAnsi="Times New Roman"/>
          <w:sz w:val="28"/>
        </w:rPr>
      </w:pPr>
    </w:p>
    <w:p w14:paraId="6F000000">
      <w:pPr>
        <w:ind w:firstLine="851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разделу </w:t>
      </w:r>
      <w:r>
        <w:rPr>
          <w:rFonts w:ascii="Times New Roman" w:hAnsi="Times New Roman"/>
          <w:sz w:val="28"/>
          <w:u w:val="single"/>
        </w:rPr>
        <w:t>Благоустройство</w:t>
      </w:r>
      <w:r>
        <w:rPr>
          <w:rFonts w:ascii="Times New Roman" w:hAnsi="Times New Roman"/>
          <w:sz w:val="28"/>
        </w:rPr>
        <w:t xml:space="preserve"> в сумме 2 755,7 тыс. рублей из них: </w:t>
      </w:r>
    </w:p>
    <w:p w14:paraId="70000000">
      <w:pPr>
        <w:ind w:firstLine="851" w:left="0"/>
        <w:jc w:val="both"/>
        <w:rPr>
          <w:rFonts w:ascii="Times New Roman" w:hAnsi="Times New Roman"/>
          <w:sz w:val="28"/>
          <w:u w:val="single"/>
        </w:rPr>
      </w:pPr>
    </w:p>
    <w:p w14:paraId="71000000">
      <w:pPr>
        <w:ind w:firstLine="851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single"/>
        </w:rPr>
        <w:t>Расходы на реализацию инициативного проекта</w:t>
      </w:r>
      <w:r>
        <w:rPr>
          <w:rFonts w:ascii="Times New Roman" w:hAnsi="Times New Roman"/>
          <w:sz w:val="28"/>
        </w:rPr>
        <w:t xml:space="preserve"> в сумме 761,8 тыс. рублей: </w:t>
      </w:r>
      <w:r>
        <w:rPr>
          <w:rFonts w:ascii="Times New Roman" w:hAnsi="Times New Roman"/>
          <w:i w:val="0"/>
          <w:color w:val="000000"/>
          <w:sz w:val="28"/>
        </w:rPr>
        <w:t xml:space="preserve"> из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 xml:space="preserve">них </w:t>
      </w:r>
      <w:r>
        <w:rPr>
          <w:rFonts w:ascii="Times New Roman" w:hAnsi="Times New Roman"/>
          <w:i w:val="0"/>
          <w:color w:val="000000"/>
          <w:sz w:val="28"/>
        </w:rPr>
        <w:t>577,9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тыс. рублей средства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 xml:space="preserve">обл.бюджета, </w:t>
      </w:r>
      <w:r>
        <w:rPr>
          <w:rFonts w:ascii="Times New Roman" w:hAnsi="Times New Roman"/>
          <w:i w:val="0"/>
          <w:color w:val="000000"/>
          <w:sz w:val="28"/>
        </w:rPr>
        <w:t>145,8 тыс</w:t>
      </w:r>
      <w:r>
        <w:rPr>
          <w:rFonts w:ascii="Times New Roman" w:hAnsi="Times New Roman"/>
          <w:i w:val="0"/>
          <w:color w:val="000000"/>
          <w:sz w:val="28"/>
        </w:rPr>
        <w:t xml:space="preserve">. рублей средства мест. бюджета, </w:t>
      </w:r>
      <w:r>
        <w:rPr>
          <w:rFonts w:ascii="Times New Roman" w:hAnsi="Times New Roman"/>
          <w:i w:val="0"/>
          <w:color w:val="000000"/>
          <w:sz w:val="28"/>
        </w:rPr>
        <w:t>38,1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тыс</w:t>
      </w:r>
      <w:r>
        <w:rPr>
          <w:rFonts w:ascii="Times New Roman" w:hAnsi="Times New Roman"/>
          <w:i w:val="0"/>
          <w:color w:val="000000"/>
          <w:sz w:val="28"/>
        </w:rPr>
        <w:t>. рублей средства инициативы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граждан (юридических и физических лиц)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по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 xml:space="preserve">объекту: </w:t>
      </w:r>
      <w:r>
        <w:rPr>
          <w:rFonts w:ascii="Times New Roman" w:hAnsi="Times New Roman"/>
          <w:i w:val="0"/>
          <w:color w:val="000000"/>
          <w:sz w:val="28"/>
        </w:rPr>
        <w:t>«Благоустройство территории кладбища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Кринично-Лугского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сельского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поселения (</w:t>
      </w:r>
      <w:r>
        <w:rPr>
          <w:rFonts w:ascii="Times New Roman" w:hAnsi="Times New Roman"/>
          <w:i w:val="0"/>
          <w:color w:val="000000"/>
          <w:sz w:val="28"/>
        </w:rPr>
        <w:t>устройство ограждения), расположенного по адресу: Ростовская область, Куйбышевский район, 1,0км. на запад от с. Миллерово</w:t>
      </w:r>
      <w:r>
        <w:rPr>
          <w:rFonts w:ascii="Times New Roman" w:hAnsi="Times New Roman"/>
          <w:i w:val="0"/>
          <w:color w:val="000000"/>
          <w:sz w:val="28"/>
        </w:rPr>
        <w:t>»</w:t>
      </w:r>
      <w:r>
        <w:rPr>
          <w:rFonts w:ascii="Times New Roman" w:hAnsi="Times New Roman"/>
          <w:i w:val="0"/>
          <w:color w:val="000000"/>
          <w:sz w:val="28"/>
        </w:rPr>
        <w:t>.</w:t>
      </w:r>
    </w:p>
    <w:p w14:paraId="72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 w:val="single"/>
        </w:rPr>
        <w:t>Расходы по содержанию памятников и кладбищ</w:t>
      </w:r>
      <w:r>
        <w:rPr>
          <w:rFonts w:ascii="Times New Roman" w:hAnsi="Times New Roman"/>
          <w:sz w:val="28"/>
        </w:rPr>
        <w:t xml:space="preserve"> в сумме 250,6 тыс. рублей (приобретение стройматериалов для текущего ремонта мест захоронения 98,0 тыс. рублей, акарицидную обработку кладбищ -15,0 тыс. рублей, текущий ремонт – 25,1 тыс. рублей, вывоз несанкционированных свалок -112,5 тыс. рублей)</w:t>
      </w:r>
      <w:r>
        <w:rPr>
          <w:rFonts w:ascii="Times New Roman" w:hAnsi="Times New Roman"/>
          <w:sz w:val="28"/>
        </w:rPr>
        <w:t>.</w:t>
      </w:r>
    </w:p>
    <w:p w14:paraId="73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 w:val="single"/>
        </w:rPr>
        <w:t>Расходы по благоустройству и содержанию зеленых насаждений</w:t>
      </w:r>
      <w:r>
        <w:rPr>
          <w:rFonts w:ascii="Times New Roman" w:hAnsi="Times New Roman"/>
          <w:sz w:val="28"/>
        </w:rPr>
        <w:t xml:space="preserve"> в сумме 338,2 тыс. рублей (приобретение стендов «Национальный проект» и «Почетные граждане» прочие расходы в сумме 106,3 тыс. рублей, изготовление сметной документации для благоустройства памятник в Новой Надежде, пересчет сметы ограждение кладбища в с. Миллерово, строительный контроль за реализацией инициативного проекта, в сумме 208 тыс. рублей ремонт системы видеонаблюдения в парке х. Новая Надежда).</w:t>
      </w:r>
    </w:p>
    <w:p w14:paraId="74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 w:val="single"/>
        </w:rPr>
        <w:t>Расходы по содержанию и оплате за электроэнергию уличного освещения</w:t>
      </w:r>
      <w:r>
        <w:rPr>
          <w:rFonts w:ascii="Times New Roman" w:hAnsi="Times New Roman"/>
          <w:sz w:val="28"/>
        </w:rPr>
        <w:t xml:space="preserve"> в сумме 1 394,1 тыс. рублей (оплата электроэнергии уличного освещения  – 1 051,3 тыс. рублей, оплата за содержание уличного освещения 342,8 тыс. рублей).</w:t>
      </w:r>
    </w:p>
    <w:p w14:paraId="75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Расходы по замене ламп накаливания</w:t>
      </w:r>
      <w:r>
        <w:rPr>
          <w:rFonts w:ascii="Times New Roman" w:hAnsi="Times New Roman"/>
          <w:sz w:val="28"/>
        </w:rPr>
        <w:t xml:space="preserve"> и других неэффективных элементов систем освещения, в том числе светильников, на энергосберегающие в сумме 10,0 тыс. рублей, расходы направлены на замену энергосберегающих ламп.</w:t>
      </w:r>
    </w:p>
    <w:p w14:paraId="76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Расходы на иные межбюджетные трансферты передаваемые другим бюджетам</w:t>
      </w:r>
      <w:r>
        <w:rPr>
          <w:rFonts w:ascii="Times New Roman" w:hAnsi="Times New Roman"/>
          <w:sz w:val="28"/>
        </w:rPr>
        <w:t xml:space="preserve"> в сумме 1,0 тыс. рублей направлены на передачу полномочий Администрации Куйбышевского района по организации ритуальных услуг.</w:t>
      </w:r>
    </w:p>
    <w:p w14:paraId="77000000">
      <w:pPr>
        <w:ind w:firstLine="851" w:left="0"/>
        <w:jc w:val="center"/>
        <w:rPr>
          <w:rFonts w:ascii="Times New Roman" w:hAnsi="Times New Roman"/>
          <w:sz w:val="28"/>
        </w:rPr>
      </w:pPr>
    </w:p>
    <w:p w14:paraId="78000000">
      <w:pPr>
        <w:ind w:firstLine="851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ОХРАНА ОКРУЖАЮЩЕЙ СРЕДЫ</w:t>
      </w:r>
    </w:p>
    <w:p w14:paraId="79000000">
      <w:pPr>
        <w:ind w:firstLine="851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СБОР, УДАЛЕНИЕ ОТХОДОВ И ОЧИСТКА СТОЧНЫХ ВОД</w:t>
      </w:r>
    </w:p>
    <w:p w14:paraId="7A000000">
      <w:pPr>
        <w:ind w:firstLine="851" w:left="0"/>
        <w:jc w:val="center"/>
        <w:rPr>
          <w:rFonts w:ascii="Times New Roman" w:hAnsi="Times New Roman"/>
          <w:sz w:val="28"/>
        </w:rPr>
      </w:pPr>
    </w:p>
    <w:p w14:paraId="7B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Расходы направлены на комплексные услуги</w:t>
      </w:r>
      <w:r>
        <w:rPr>
          <w:rFonts w:ascii="Times New Roman" w:hAnsi="Times New Roman"/>
          <w:sz w:val="28"/>
        </w:rPr>
        <w:t xml:space="preserve"> по обращению с ртутьсодержащими отходами в сумме 35,0 тыс. рублей (сбор и удаление ртуть содержащих отходов).</w:t>
      </w:r>
    </w:p>
    <w:p w14:paraId="7C000000">
      <w:pPr>
        <w:ind w:firstLine="851" w:left="0"/>
        <w:jc w:val="both"/>
        <w:rPr>
          <w:rFonts w:ascii="Times New Roman" w:hAnsi="Times New Roman"/>
          <w:sz w:val="28"/>
        </w:rPr>
      </w:pPr>
    </w:p>
    <w:p w14:paraId="7D000000">
      <w:pPr>
        <w:ind w:firstLine="851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</w:t>
      </w:r>
    </w:p>
    <w:p w14:paraId="7E000000">
      <w:pPr>
        <w:ind w:firstLine="851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ПРОФЕССИОНАЛЬНАЯ ПОДГОТОВКА, ПЕРЕПОДГОТОВКА И ПОВЫШЕНИЕ КВАЛИФИКАЦИИ</w:t>
      </w:r>
    </w:p>
    <w:p w14:paraId="7F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Расходы на повышение квалификации</w:t>
      </w:r>
      <w:r>
        <w:rPr>
          <w:rFonts w:ascii="Times New Roman" w:hAnsi="Times New Roman"/>
          <w:sz w:val="28"/>
        </w:rPr>
        <w:t xml:space="preserve"> в сумме 5,0 тыс. рублей. Повышение квалификации прошел 1 сотрудник по направлению: бухгалтерский учет. </w:t>
      </w:r>
    </w:p>
    <w:p w14:paraId="80000000">
      <w:pPr>
        <w:ind w:firstLine="851" w:left="0"/>
        <w:jc w:val="both"/>
        <w:rPr>
          <w:rFonts w:ascii="Times New Roman" w:hAnsi="Times New Roman"/>
          <w:sz w:val="28"/>
        </w:rPr>
      </w:pPr>
    </w:p>
    <w:p w14:paraId="81000000">
      <w:pPr>
        <w:ind w:firstLine="851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КУЛЬТУРА, КИНЕМАТОГРАФИЯ</w:t>
      </w:r>
    </w:p>
    <w:p w14:paraId="82000000">
      <w:pPr>
        <w:ind w:firstLine="851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КУЛЬТУРА</w:t>
      </w:r>
    </w:p>
    <w:p w14:paraId="83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Бюджетные средства израсходованы в сумме 15 227,7 тыс. рублей, средства направлены на предоставление </w:t>
      </w:r>
      <w:r>
        <w:rPr>
          <w:rFonts w:ascii="Times New Roman" w:hAnsi="Times New Roman"/>
          <w:sz w:val="28"/>
          <w:u w:color="000000" w:val="single"/>
        </w:rPr>
        <w:t>субсидии МУК ЦКС К-ЛСП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color="000000" w:val="single"/>
        </w:rPr>
        <w:t>на выполнение муниципального задани</w:t>
      </w:r>
      <w:r>
        <w:rPr>
          <w:rFonts w:ascii="Times New Roman" w:hAnsi="Times New Roman"/>
          <w:sz w:val="28"/>
        </w:rPr>
        <w:t>я в сумме 15 127,7 тыс. рублей (расходы на заработную плату с начислениями в сумме 9 309,2 тыс. рублей, оплата  коммунальных расходов в сумме 4 593,9 тыс. рублей, услуги связи в сумме 52,2 тыс. рублей; услуги по содержанию имущества в сумме 606,4 тыс. рублей, прочие работы 164,2 тыс. рублей, приобретение угля 109,7 тыс. рублей, уплата налогов -225,0 тыс. рублей).</w:t>
      </w:r>
    </w:p>
    <w:p w14:paraId="84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Реализация направления расходов</w:t>
      </w:r>
      <w:r>
        <w:rPr>
          <w:rFonts w:ascii="Times New Roman" w:hAnsi="Times New Roman"/>
          <w:sz w:val="28"/>
        </w:rPr>
        <w:t xml:space="preserve"> в сумме 100,0 тыс. рублей. Расходы направлены на </w:t>
      </w:r>
      <w:r>
        <w:rPr>
          <w:rFonts w:ascii="Times New Roman" w:hAnsi="Times New Roman"/>
        </w:rPr>
        <w:t xml:space="preserve"> изготовление проектно изыскательских работ для капитального ремента сельского клуба </w:t>
      </w:r>
      <w:r>
        <w:rPr>
          <w:rFonts w:ascii="Times New Roman" w:hAnsi="Times New Roman"/>
          <w:sz w:val="28"/>
        </w:rPr>
        <w:t>в с. Миллерово.</w:t>
      </w:r>
    </w:p>
    <w:p w14:paraId="85000000">
      <w:pPr>
        <w:ind w:firstLine="851" w:left="0"/>
        <w:jc w:val="both"/>
        <w:rPr>
          <w:rFonts w:ascii="Times New Roman" w:hAnsi="Times New Roman"/>
          <w:sz w:val="28"/>
        </w:rPr>
      </w:pPr>
    </w:p>
    <w:p w14:paraId="86000000">
      <w:pPr>
        <w:ind w:firstLine="851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СОЦИАЛЬНАЯ ПОЛИТИКА</w:t>
      </w:r>
    </w:p>
    <w:p w14:paraId="87000000">
      <w:pPr>
        <w:ind w:firstLine="851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ПЕНСИОННОЕ ОБЕСПЕЧЕНИЕ</w:t>
      </w:r>
    </w:p>
    <w:p w14:paraId="88000000">
      <w:pPr>
        <w:ind w:firstLine="851" w:left="0"/>
        <w:jc w:val="center"/>
        <w:rPr>
          <w:rFonts w:ascii="Times New Roman" w:hAnsi="Times New Roman"/>
          <w:sz w:val="28"/>
        </w:rPr>
      </w:pPr>
    </w:p>
    <w:p w14:paraId="89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</w:t>
      </w:r>
      <w:r>
        <w:rPr>
          <w:rFonts w:ascii="Times New Roman" w:hAnsi="Times New Roman"/>
          <w:sz w:val="28"/>
          <w:u w:val="single"/>
        </w:rPr>
        <w:t>аправлены на выплату пенсии за выслугу лет</w:t>
      </w:r>
      <w:r>
        <w:rPr>
          <w:rFonts w:ascii="Times New Roman" w:hAnsi="Times New Roman"/>
          <w:sz w:val="28"/>
        </w:rPr>
        <w:t xml:space="preserve"> лицам, замещающим муниципальные должности и должности муниципальной службы в сумме 156,2 тыс. рублей.</w:t>
      </w:r>
    </w:p>
    <w:p w14:paraId="8A000000">
      <w:pPr>
        <w:ind w:firstLine="851" w:left="0"/>
        <w:jc w:val="both"/>
        <w:rPr>
          <w:rFonts w:ascii="Times New Roman" w:hAnsi="Times New Roman"/>
          <w:sz w:val="28"/>
        </w:rPr>
      </w:pPr>
    </w:p>
    <w:p w14:paraId="8B000000">
      <w:pPr>
        <w:ind w:firstLine="851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ФИЗИЧЕСКАЯ КУЛЬТУРА И СПОРТ</w:t>
      </w:r>
    </w:p>
    <w:p w14:paraId="8C000000">
      <w:pPr>
        <w:ind w:firstLine="851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ВОПРОСЫ В ОБЛАСТИ ФИЗИЧЕСКОЙ КУЛЬТУРЫ</w:t>
      </w:r>
    </w:p>
    <w:p w14:paraId="8D000000">
      <w:pPr>
        <w:ind w:firstLine="851" w:left="0"/>
        <w:jc w:val="center"/>
        <w:rPr>
          <w:rFonts w:ascii="Times New Roman" w:hAnsi="Times New Roman"/>
          <w:sz w:val="28"/>
        </w:rPr>
      </w:pPr>
    </w:p>
    <w:p w14:paraId="8E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</w:t>
      </w:r>
      <w:r>
        <w:rPr>
          <w:rFonts w:ascii="Times New Roman" w:hAnsi="Times New Roman"/>
          <w:sz w:val="28"/>
          <w:u w:val="single"/>
        </w:rPr>
        <w:t>на физическое воспитание,  обеспечение организации и проведения физкультурных мероприятий</w:t>
      </w:r>
      <w:r>
        <w:rPr>
          <w:rFonts w:ascii="Times New Roman" w:hAnsi="Times New Roman"/>
          <w:sz w:val="28"/>
        </w:rPr>
        <w:t xml:space="preserve"> и спортивных мероприятий в сумме 8,9 тыс. рублей. Расходы направлены на приобретение спортивного инвентаря</w:t>
      </w:r>
      <w:r>
        <w:rPr>
          <w:rFonts w:ascii="Times New Roman" w:hAnsi="Times New Roman"/>
          <w:sz w:val="28"/>
        </w:rPr>
        <w:t>.</w:t>
      </w:r>
    </w:p>
    <w:p w14:paraId="8F00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 </w:t>
      </w:r>
    </w:p>
    <w:p w14:paraId="90000000">
      <w:pPr>
        <w:ind w:firstLine="708" w:left="0"/>
        <w:rPr>
          <w:rFonts w:ascii="Times New Roman" w:hAnsi="Times New Roman"/>
          <w:sz w:val="28"/>
        </w:rPr>
      </w:pPr>
    </w:p>
    <w:p w14:paraId="9100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сельского поселения осуществляет свои функции и  решает вопросы местного значения за счёт бюджетных средств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</w:r>
    </w:p>
    <w:p w14:paraId="9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   За 2024 год заключено 102 договоров на общую сумму 4 905,0 тыс. рублей, в т.ч.: - коммунальные услуги 5 договоров на сумму 1804,0  тыс. рублей, закупки малого объема 15 договоров на сумму 926,1 тыс. рублей.</w:t>
      </w:r>
    </w:p>
    <w:p w14:paraId="9300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</w:t>
      </w:r>
    </w:p>
    <w:p w14:paraId="9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Санитарное состояние поселения</w:t>
      </w:r>
    </w:p>
    <w:p w14:paraId="96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о всех</w:t>
      </w:r>
      <w:r>
        <w:rPr>
          <w:rFonts w:ascii="Times New Roman" w:hAnsi="Times New Roman"/>
          <w:sz w:val="28"/>
        </w:rPr>
        <w:t> населенных пунктах поселения проводилась работа по наведению порядка, уборке и благоустройству территорий памятников, кладбищ,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прилегающих к учреждениям и организациям, п</w:t>
      </w:r>
      <w:r>
        <w:rPr>
          <w:rFonts w:ascii="Times New Roman" w:hAnsi="Times New Roman"/>
          <w:sz w:val="28"/>
        </w:rPr>
        <w:t>ридворовых</w:t>
      </w:r>
      <w:r>
        <w:rPr>
          <w:rFonts w:ascii="Times New Roman" w:hAnsi="Times New Roman"/>
          <w:sz w:val="28"/>
        </w:rPr>
        <w:t xml:space="preserve"> территорий домовладений. Проведено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субботник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, в которых принимали участие работники администрации и культуры, социальные работники, депутаты поселения, сельхозпредприятия, а также инициативные жители </w:t>
      </w:r>
      <w:r>
        <w:rPr>
          <w:rFonts w:ascii="Times New Roman" w:hAnsi="Times New Roman"/>
          <w:sz w:val="28"/>
        </w:rPr>
        <w:t>Кринич</w:t>
      </w:r>
      <w:r>
        <w:rPr>
          <w:rFonts w:ascii="Times New Roman" w:hAnsi="Times New Roman"/>
          <w:sz w:val="28"/>
        </w:rPr>
        <w:t>но-Лугского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97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торжественным мероприятиям, посвящённым Дню Победы воинские захоронения</w:t>
      </w:r>
      <w:r>
        <w:rPr>
          <w:rFonts w:ascii="Times New Roman" w:hAnsi="Times New Roman"/>
          <w:sz w:val="28"/>
        </w:rPr>
        <w:t>, расположенные на территории поселения</w:t>
      </w:r>
      <w:r>
        <w:rPr>
          <w:rFonts w:ascii="Times New Roman" w:hAnsi="Times New Roman"/>
          <w:sz w:val="28"/>
        </w:rPr>
        <w:t xml:space="preserve"> были приведены в порядок, проведен текущий ремонт</w:t>
      </w:r>
      <w:r>
        <w:rPr>
          <w:rFonts w:ascii="Times New Roman" w:hAnsi="Times New Roman"/>
          <w:sz w:val="28"/>
        </w:rPr>
        <w:t>, покос сорной растительности</w:t>
      </w:r>
      <w:r>
        <w:rPr>
          <w:rFonts w:ascii="Times New Roman" w:hAnsi="Times New Roman"/>
          <w:sz w:val="28"/>
        </w:rPr>
        <w:t>.</w:t>
      </w:r>
    </w:p>
    <w:p w14:paraId="98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Проведена противоклещевая обработка территорий кладбищ, памятников, детских площадок общей площадью 5 га на сумму </w:t>
      </w:r>
      <w:r>
        <w:rPr>
          <w:rFonts w:ascii="Times New Roman" w:hAnsi="Times New Roman"/>
          <w:sz w:val="28"/>
        </w:rPr>
        <w:t>14970</w:t>
      </w:r>
      <w:r>
        <w:rPr>
          <w:rFonts w:ascii="Times New Roman" w:hAnsi="Times New Roman"/>
          <w:sz w:val="28"/>
        </w:rPr>
        <w:t xml:space="preserve"> рубл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лучаев укуса клещами на территориях сельского поселения </w:t>
      </w:r>
      <w:r>
        <w:rPr>
          <w:rFonts w:ascii="Times New Roman" w:hAnsi="Times New Roman"/>
          <w:sz w:val="28"/>
        </w:rPr>
        <w:t>в 2024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зафиксировано.</w:t>
      </w:r>
    </w:p>
    <w:p w14:paraId="99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Ежегодно в весенний период проводится работа по побелке деревьев</w:t>
      </w:r>
      <w:r>
        <w:rPr>
          <w:rFonts w:ascii="Times New Roman" w:hAnsi="Times New Roman"/>
          <w:sz w:val="28"/>
        </w:rPr>
        <w:t xml:space="preserve"> и оргаждения кладбищ</w:t>
      </w:r>
      <w:r>
        <w:rPr>
          <w:rFonts w:ascii="Times New Roman" w:hAnsi="Times New Roman"/>
          <w:sz w:val="28"/>
        </w:rPr>
        <w:t>.</w:t>
      </w:r>
    </w:p>
    <w:p w14:paraId="9A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Принимали участие в благоустройстве поселения </w:t>
      </w:r>
      <w:r>
        <w:rPr>
          <w:rFonts w:ascii="Times New Roman" w:hAnsi="Times New Roman"/>
          <w:sz w:val="28"/>
        </w:rPr>
        <w:t xml:space="preserve"> граждане, осужденные на обязательные работы, (</w:t>
      </w:r>
      <w:r>
        <w:rPr>
          <w:rFonts w:ascii="Times New Roman" w:hAnsi="Times New Roman"/>
          <w:sz w:val="28"/>
        </w:rPr>
        <w:t>покос сорной растительности у колодцев, детских площадок, остановок</w:t>
      </w:r>
      <w:r>
        <w:rPr>
          <w:rFonts w:ascii="Times New Roman" w:hAnsi="Times New Roman"/>
          <w:sz w:val="28"/>
        </w:rPr>
        <w:t>, местах общего пользования</w:t>
      </w:r>
      <w:r>
        <w:rPr>
          <w:rFonts w:ascii="Times New Roman" w:hAnsi="Times New Roman"/>
          <w:sz w:val="28"/>
        </w:rPr>
        <w:t>).</w:t>
      </w:r>
    </w:p>
    <w:p w14:paraId="9B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Силами администрации</w:t>
      </w:r>
      <w:r>
        <w:rPr>
          <w:rFonts w:ascii="Times New Roman" w:hAnsi="Times New Roman"/>
          <w:sz w:val="28"/>
        </w:rPr>
        <w:t xml:space="preserve"> велась уборка и покос травянистой сорной растительности на детских площадках, сельских кладбищах, прилегающей территории памятников и прочих террито</w:t>
      </w:r>
      <w:r>
        <w:rPr>
          <w:rFonts w:ascii="Times New Roman" w:hAnsi="Times New Roman"/>
          <w:sz w:val="28"/>
        </w:rPr>
        <w:t>риях общего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пользования</w:t>
      </w:r>
      <w:r>
        <w:rPr>
          <w:rFonts w:ascii="Times New Roman" w:hAnsi="Times New Roman"/>
          <w:sz w:val="28"/>
        </w:rPr>
        <w:t>.</w:t>
      </w:r>
    </w:p>
    <w:p w14:paraId="9C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рамках Всероссийской акции по очистке от мусора берегов водных объектов «Вода России»</w:t>
      </w:r>
      <w:r>
        <w:rPr>
          <w:rFonts w:ascii="Times New Roman" w:hAnsi="Times New Roman"/>
          <w:sz w:val="28"/>
        </w:rPr>
        <w:t xml:space="preserve"> силами Администрации проведена очистка береговой полосы реки Средний Тузлов</w:t>
      </w:r>
      <w:r>
        <w:rPr>
          <w:rFonts w:ascii="Times New Roman" w:hAnsi="Times New Roman"/>
          <w:sz w:val="28"/>
        </w:rPr>
        <w:t>. В рамках мероприятия «Год Добрых дел»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провели </w:t>
      </w:r>
      <w:r>
        <w:rPr>
          <w:rFonts w:ascii="Times New Roman" w:hAnsi="Times New Roman"/>
          <w:sz w:val="28"/>
        </w:rPr>
        <w:t>косметический ремонт моста</w:t>
      </w:r>
      <w:r>
        <w:rPr>
          <w:rFonts w:ascii="Times New Roman" w:hAnsi="Times New Roman"/>
          <w:sz w:val="28"/>
        </w:rPr>
        <w:t xml:space="preserve"> через реку Средний Тузлов, убрали свалки сухих веток в хуторе Зайцево, организовали субботники в парке хутора Новая Надежда и по улице Советской провели побелку поребрик вдоль дороги и убрали мусор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На общественной территории села Миллерово организовали субботник по опилке деревьев и демонтажу изгороди, пришедшей в негодность. </w:t>
      </w:r>
      <w:r>
        <w:rPr>
          <w:rFonts w:ascii="Times New Roman" w:hAnsi="Times New Roman"/>
          <w:sz w:val="28"/>
        </w:rPr>
        <w:t>Так же приняли участие во Всероссийской акции "Сад памяти"</w:t>
      </w:r>
      <w:r>
        <w:rPr>
          <w:rFonts w:ascii="Times New Roman" w:hAnsi="Times New Roman"/>
          <w:sz w:val="28"/>
        </w:rPr>
        <w:t>, на клумбах высадили цветы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Весной и осенью провед</w:t>
      </w:r>
      <w:r>
        <w:rPr>
          <w:rFonts w:ascii="Times New Roman" w:hAnsi="Times New Roman"/>
          <w:sz w:val="28"/>
        </w:rPr>
        <w:t>ены дни древонасаждения.  </w:t>
      </w:r>
    </w:p>
    <w:p w14:paraId="9D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территории сельских кладбищ вывезено 90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мусора</w:t>
      </w:r>
      <w:r>
        <w:rPr>
          <w:rFonts w:ascii="Times New Roman" w:hAnsi="Times New Roman"/>
          <w:sz w:val="28"/>
        </w:rPr>
        <w:t>, а также ликвидированы свалочные очаги вдоль дорог (сухие ветки, солома, камень) объемом 45 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    </w:t>
      </w:r>
    </w:p>
    <w:p w14:paraId="9E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соблюдением Правил благоустройства и пожарной безопасности должностными лицами Администрации посел</w:t>
      </w:r>
      <w:r>
        <w:rPr>
          <w:rFonts w:ascii="Times New Roman" w:hAnsi="Times New Roman"/>
          <w:sz w:val="28"/>
        </w:rPr>
        <w:t xml:space="preserve">ения в текущем году  составлены 22 </w:t>
      </w:r>
      <w:r>
        <w:rPr>
          <w:rFonts w:ascii="Times New Roman" w:hAnsi="Times New Roman"/>
          <w:sz w:val="28"/>
        </w:rPr>
        <w:t>протокола об административных правонарушениях, совершенных физическими лицами: </w:t>
      </w:r>
    </w:p>
    <w:p w14:paraId="9F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ч.1 ст.5.1</w:t>
      </w:r>
      <w:r>
        <w:rPr>
          <w:rFonts w:ascii="Times New Roman" w:hAnsi="Times New Roman"/>
          <w:sz w:val="28"/>
        </w:rPr>
        <w:t xml:space="preserve"> и ст.5.2</w:t>
      </w:r>
      <w:r>
        <w:rPr>
          <w:rFonts w:ascii="Times New Roman" w:hAnsi="Times New Roman"/>
          <w:sz w:val="28"/>
        </w:rPr>
        <w:t xml:space="preserve"> Областного закона №273-ЗС от 25.10.2002г</w:t>
      </w:r>
      <w:r>
        <w:rPr>
          <w:rFonts w:ascii="Times New Roman" w:hAnsi="Times New Roman"/>
          <w:sz w:val="28"/>
        </w:rPr>
        <w:t xml:space="preserve"> (нарушение правил благоустройства) –</w:t>
      </w:r>
      <w:r>
        <w:rPr>
          <w:rFonts w:ascii="Times New Roman" w:hAnsi="Times New Roman"/>
          <w:sz w:val="28"/>
        </w:rPr>
        <w:t xml:space="preserve"> 19 </w:t>
      </w:r>
      <w:r>
        <w:rPr>
          <w:rFonts w:ascii="Times New Roman" w:hAnsi="Times New Roman"/>
          <w:sz w:val="28"/>
        </w:rPr>
        <w:t>протоколов.</w:t>
      </w:r>
    </w:p>
    <w:p w14:paraId="A0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ч.1 ст.4.1 </w:t>
      </w:r>
      <w:r>
        <w:rPr>
          <w:rFonts w:ascii="Times New Roman" w:hAnsi="Times New Roman"/>
          <w:sz w:val="28"/>
        </w:rPr>
        <w:t>Областного закона №273-ЗС от 25.10.2002г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нарушение прави</w:t>
      </w:r>
      <w:r>
        <w:rPr>
          <w:rFonts w:ascii="Times New Roman" w:hAnsi="Times New Roman"/>
          <w:sz w:val="28"/>
        </w:rPr>
        <w:t>л содержания сельскохозяйственных животных</w:t>
      </w:r>
      <w:r>
        <w:rPr>
          <w:rFonts w:ascii="Times New Roman" w:hAnsi="Times New Roman"/>
          <w:sz w:val="28"/>
        </w:rPr>
        <w:t xml:space="preserve">) – 2 протокола. </w:t>
      </w:r>
    </w:p>
    <w:p w14:paraId="A1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ч.1 ст.4.6 </w:t>
      </w:r>
      <w:r>
        <w:rPr>
          <w:rFonts w:ascii="Times New Roman" w:hAnsi="Times New Roman"/>
          <w:sz w:val="28"/>
        </w:rPr>
        <w:t xml:space="preserve">Областного закона №273-ЗС от 25.10.2002г (нарушение </w:t>
      </w:r>
      <w:r>
        <w:rPr>
          <w:rFonts w:ascii="Times New Roman" w:hAnsi="Times New Roman"/>
          <w:sz w:val="28"/>
        </w:rPr>
        <w:t>требова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ий в области обращения с животными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-  1 протокол</w:t>
      </w:r>
    </w:p>
    <w:p w14:paraId="A2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Вручено 32</w:t>
      </w:r>
      <w:r>
        <w:rPr>
          <w:rFonts w:ascii="Times New Roman" w:hAnsi="Times New Roman"/>
          <w:sz w:val="28"/>
        </w:rPr>
        <w:t xml:space="preserve"> предупреждения.</w:t>
      </w:r>
    </w:p>
    <w:p w14:paraId="A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A4000000">
      <w:pPr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u w:color="000000" w:val="single"/>
        </w:rPr>
        <w:t>Землеустройство и землепользование</w:t>
      </w:r>
    </w:p>
    <w:p w14:paraId="A5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A6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Выдано 96 уведомлений собственникам земельных участков об отказе от покупки продаваемого земельного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участка.</w:t>
      </w:r>
    </w:p>
    <w:p w14:paraId="A7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Выдано  126 выписок о наличие ЛПХ.</w:t>
      </w:r>
    </w:p>
    <w:p w14:paraId="A8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Организация в проведении своевременной запланированной ветеринарной   обработки (прививки и вакцинации домашних животных).</w:t>
      </w:r>
    </w:p>
    <w:p w14:paraId="A9000000">
      <w:pPr>
        <w:ind w:firstLine="70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Проведение работы по выявлению и внесению в Единый государственный реестр недвижимости сведений  о правообладателях  ранее учтенных объектов недвижимости. </w:t>
      </w:r>
      <w:r>
        <w:rPr>
          <w:rFonts w:ascii="Times New Roman" w:hAnsi="Times New Roman"/>
        </w:rPr>
        <w:t>Внесены сведения недостающих характеристик. Составлено 691 актов списания полностью разрушенных жилых и нежилых помещений, информация направлена в администрацию Куйбышевского района.</w:t>
      </w:r>
    </w:p>
    <w:p w14:paraId="AA000000">
      <w:pPr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Продолжена работа по сдаче в аренду муниципального имущества муниципальной собственности.  В 2024 году заключено:</w:t>
      </w:r>
    </w:p>
    <w:p w14:paraId="AB000000">
      <w:pPr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- 6 договоров аренды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 xml:space="preserve">муниципального имущества, находящегося в оперативном управлении Администрации в Кринично-Лугском сельском поселении: заключенных с Таганрогским отделением ОАО «Сбербанк России» № 5221, с Ростовским филиалом ОАО «Ростелеком», </w:t>
      </w:r>
      <w:r>
        <w:rPr/>
        <w:t xml:space="preserve">ООО «Интернет Решения», </w:t>
      </w:r>
      <w:r>
        <w:rPr>
          <w:rFonts w:ascii="Times New Roman" w:hAnsi="Times New Roman"/>
        </w:rPr>
        <w:t>с ИП Харченко О.Г.;</w:t>
      </w:r>
    </w:p>
    <w:p w14:paraId="AC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-2 договора аренды имущества, находящегося в казне муниципального образования «Кринично-Лугское сельское поселение»: заключенных с Рожковым Н.В.(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автоцистерна, используемая по подвозу воды населению), с ИП Бабкиной А.П. (полуприцеп электростанция АД)</w:t>
      </w:r>
      <w:r>
        <w:rPr>
          <w:rFonts w:ascii="Times New Roman" w:hAnsi="Times New Roman"/>
          <w:sz w:val="24"/>
        </w:rPr>
        <w:t>;</w:t>
      </w:r>
    </w:p>
    <w:p w14:paraId="AD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- 1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договор аренды земельного участка, находящегося в собственности муниципального образования «Кринично-Лугское сельское поселение», заключенного с ИП «Главой КФХ Шленчак А.А.»</w:t>
      </w:r>
      <w:r>
        <w:rPr>
          <w:rFonts w:ascii="Times New Roman" w:hAnsi="Times New Roman"/>
          <w:sz w:val="24"/>
        </w:rPr>
        <w:t>;</w:t>
      </w:r>
    </w:p>
    <w:p w14:paraId="AE000000">
      <w:pPr>
        <w:numPr>
          <w:numId w:val="5"/>
        </w:num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4 договора аренды безвозмездного пользования с ЦСО х. Новая Надежда и х. Кринично-Лугский, СКО «Станица Голодаевка» Юртового казачьего общества.</w:t>
      </w:r>
    </w:p>
    <w:p w14:paraId="AF000000">
      <w:pPr>
        <w:spacing w:after="120"/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</w:rPr>
        <w:t> </w:t>
      </w:r>
    </w:p>
    <w:p w14:paraId="B0000000">
      <w:pPr>
        <w:spacing w:after="120"/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u w:color="000000" w:val="single"/>
        </w:rPr>
        <w:t>Мероприятия по вопросам ЧС и ПБ</w:t>
      </w:r>
    </w:p>
    <w:p w14:paraId="B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    </w:t>
      </w:r>
    </w:p>
    <w:p w14:paraId="B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     В целях недопущения пожаров (в т.ч. ландшафтных) на территории поселения постоянно ведется противопожарная пропаганда – в личных беседах, в ежемесячном информационном бюллетене Кринично-Лугского, на официальном сайте Администрации поселения в памятках, объявлениях, радиогазетах, в школах напоминаются требования ПБ,  запрет на выжигание сухой растительности и мерах ответственности,  номера телефонов по которым звонить в случае пожара.</w:t>
      </w:r>
    </w:p>
    <w:p w14:paraId="B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 Проведены тренировки по ликвидации ЧС на территории поселения и оповещению населения.</w:t>
      </w:r>
    </w:p>
    <w:p w14:paraId="B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 Прошли заседания КЧС и ПБ поселения по вопросам ПБ в весенне-летний пожароопасные периоды, безопасности на воде.</w:t>
      </w:r>
    </w:p>
    <w:p w14:paraId="B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         Существующие источники противопожарного водоснабжения и подъезды к ним содержатся в надлежащем состоянии. </w:t>
      </w:r>
    </w:p>
    <w:p w14:paraId="B6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Учтены семьи, находящиеся в социально опасном положении</w:t>
      </w:r>
      <w:r>
        <w:rPr>
          <w:rFonts w:ascii="Times New Roman" w:hAnsi="Times New Roman"/>
        </w:rPr>
        <w:t xml:space="preserve"> (3 семей).</w:t>
      </w:r>
      <w:r>
        <w:rPr>
          <w:rFonts w:ascii="Times New Roman" w:hAnsi="Times New Roman"/>
        </w:rPr>
        <w:t xml:space="preserve"> Специалистами Администрации поселения проведены комиссионные посещения  данных семей, с которыми проведены разъяснительные беседы о родительской ответственности за детей, с рекомендацией о строгом запрете появления несовершеннолетних на водных объектах и заброшенных усадьбах поселения без сопровождения взрослых, с вручением памяток по пожарной безопасности, о вреде наркотиков, правилах безопасного поведения на воде (льду).</w:t>
      </w:r>
    </w:p>
    <w:p w14:paraId="B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 Ведется профилактическая работа по предупреждению террористических и экстремистских проявлений на территории поселения, укреплению межнационального согласия, повышению бдительности.</w:t>
      </w:r>
    </w:p>
    <w:p w14:paraId="B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 Работает народная  дружина Кринично-Лугского сельского поселения.</w:t>
      </w:r>
    </w:p>
    <w:p w14:paraId="B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 Проводятся профилактические антинаркотические мероприятия (рейды по определению и уничтожению очагов дикорастущей конопли, информация в СМИ, распространение памяток).</w:t>
      </w:r>
    </w:p>
    <w:p w14:paraId="B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B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                                                    </w:t>
      </w:r>
      <w:r>
        <w:rPr>
          <w:rFonts w:ascii="Times New Roman" w:hAnsi="Times New Roman"/>
          <w:b w:val="1"/>
          <w:u w:color="000000" w:val="single"/>
        </w:rPr>
        <w:t>Военно – Учетный стол</w:t>
      </w:r>
    </w:p>
    <w:p w14:paraId="B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BD000000">
      <w:pPr>
        <w:ind w:firstLine="0" w:left="284" w:right="72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По итогам 2024 года всего на первичном воинском учете состоит 787 </w:t>
      </w:r>
      <w:r>
        <w:rPr>
          <w:rFonts w:ascii="Times New Roman" w:hAnsi="Times New Roman"/>
          <w:u w:color="000000" w:val="single"/>
        </w:rPr>
        <w:t>граждан</w:t>
      </w:r>
      <w:r>
        <w:rPr>
          <w:rFonts w:ascii="Times New Roman" w:hAnsi="Times New Roman"/>
        </w:rPr>
        <w:t>, в том числе:</w:t>
      </w:r>
    </w:p>
    <w:p w14:paraId="BE000000">
      <w:pPr>
        <w:spacing w:after="134" w:before="134"/>
        <w:ind w:firstLine="284" w:left="0" w:right="72"/>
        <w:rPr>
          <w:rFonts w:ascii="Times New Roman" w:hAnsi="Times New Roman"/>
          <w:sz w:val="24"/>
        </w:rPr>
      </w:pPr>
      <w:r>
        <w:rPr>
          <w:rFonts w:ascii="Times New Roman" w:hAnsi="Times New Roman"/>
          <w:u w:color="000000" w:val="single"/>
        </w:rPr>
        <w:t>47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 xml:space="preserve"> гражданин, подлежащих призыву на военную службу </w:t>
      </w:r>
      <w:r>
        <w:rPr>
          <w:rFonts w:ascii="Times New Roman" w:hAnsi="Times New Roman"/>
          <w:u w:color="000000" w:val="single"/>
        </w:rPr>
        <w:t>(</w:t>
      </w:r>
      <w:r>
        <w:rPr>
          <w:rFonts w:ascii="Times New Roman" w:hAnsi="Times New Roman"/>
        </w:rPr>
        <w:t> по сравнению с 2023 годом уменьшилось на 3 человека);</w:t>
      </w:r>
    </w:p>
    <w:p w14:paraId="BF000000">
      <w:pPr>
        <w:spacing w:after="134" w:before="134"/>
        <w:ind w:firstLine="284" w:left="0" w:right="72"/>
        <w:rPr>
          <w:rFonts w:ascii="Times New Roman" w:hAnsi="Times New Roman"/>
          <w:sz w:val="24"/>
        </w:rPr>
      </w:pPr>
      <w:r>
        <w:rPr>
          <w:rFonts w:ascii="Times New Roman" w:hAnsi="Times New Roman"/>
          <w:u w:color="000000" w:val="single"/>
        </w:rPr>
        <w:t>12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 xml:space="preserve">офицеров запаса (в сравнении с 2023 годом </w:t>
      </w:r>
      <w:r>
        <w:rPr>
          <w:rFonts w:ascii="Times New Roman" w:hAnsi="Times New Roman"/>
          <w:u w:color="000000" w:val="single"/>
        </w:rPr>
        <w:t>уменьшилось</w:t>
      </w:r>
      <w:r>
        <w:rPr>
          <w:rFonts w:ascii="Times New Roman" w:hAnsi="Times New Roman"/>
        </w:rPr>
        <w:t xml:space="preserve"> на 3 человека);</w:t>
      </w:r>
    </w:p>
    <w:p w14:paraId="C0000000">
      <w:pPr>
        <w:spacing w:after="134" w:before="134"/>
        <w:ind w:firstLine="284" w:left="0" w:right="72"/>
        <w:rPr>
          <w:rFonts w:ascii="Times New Roman" w:hAnsi="Times New Roman"/>
          <w:sz w:val="24"/>
        </w:rPr>
      </w:pPr>
      <w:r>
        <w:rPr>
          <w:rFonts w:ascii="Times New Roman" w:hAnsi="Times New Roman"/>
          <w:u w:color="000000" w:val="single"/>
        </w:rPr>
        <w:t>730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 xml:space="preserve">прапорщиков, мичманов, сержантов, старшин, солдат и матросов запаса </w:t>
      </w:r>
      <w:r>
        <w:rPr>
          <w:rFonts w:ascii="Times New Roman" w:hAnsi="Times New Roman"/>
          <w:u w:color="000000" w:val="single"/>
        </w:rPr>
        <w:t>(в сравнении с 2023 годом увеличилось</w:t>
      </w:r>
      <w:r>
        <w:rPr>
          <w:rFonts w:ascii="Times New Roman" w:hAnsi="Times New Roman"/>
        </w:rPr>
        <w:t xml:space="preserve"> на 16 человек).</w:t>
      </w:r>
    </w:p>
    <w:p w14:paraId="C1000000">
      <w:pPr>
        <w:spacing w:after="134" w:before="134"/>
        <w:ind w:firstLine="2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u w:color="000000" w:val="single"/>
        </w:rPr>
        <w:t>Прибыло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в запас  -21 человек, в т.ч (получили гражданство РФ) –  чел., с переменой местожительства – 21 человек.</w:t>
      </w:r>
    </w:p>
    <w:p w14:paraId="C2000000">
      <w:pPr>
        <w:spacing w:after="134" w:before="134"/>
        <w:ind w:firstLine="2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u w:color="000000" w:val="single"/>
        </w:rPr>
        <w:t>Убыло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– 6  чел., в т.ч.по достижению предельного возраста-_3 чел., со сменой места жительства- 3 чел., по другим причинам-  чел.</w:t>
      </w:r>
    </w:p>
    <w:p w14:paraId="C3000000">
      <w:pPr>
        <w:spacing w:after="134" w:before="134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Проведена постановка на первичный воинский учет юношей 2008 года рождения, а также граждан призывного возраста ранее не состоящих на воинском учете.</w:t>
      </w:r>
    </w:p>
    <w:p w14:paraId="C4000000">
      <w:pPr>
        <w:spacing w:after="134" w:before="134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Для прохождения медицинской, призывной комиссии в военном комиссариате Матвеево-Курганского и Куйбышевского районов вызван 21 человек.</w:t>
      </w:r>
    </w:p>
    <w:p w14:paraId="C5000000">
      <w:pPr>
        <w:spacing w:after="134" w:before="134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На протяжении года велась работа с гражданами, состоящих на в\у, по внесению изменений в учетные карточки и военные билеты. </w:t>
      </w:r>
    </w:p>
    <w:p w14:paraId="C6000000">
      <w:pPr>
        <w:spacing w:after="134" w:before="134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В 2024 году проведена согласно плана  </w:t>
      </w:r>
      <w:r>
        <w:rPr>
          <w:rFonts w:ascii="Times New Roman" w:hAnsi="Times New Roman"/>
          <w:u w:color="000000" w:val="single"/>
        </w:rPr>
        <w:t>сверка</w:t>
      </w:r>
      <w:r>
        <w:rPr>
          <w:rFonts w:ascii="Times New Roman" w:hAnsi="Times New Roman"/>
        </w:rPr>
        <w:t xml:space="preserve"> документов первичного воинского учета и бронирования в 23-х организациях (учреждениями),находящиеся на территории  поселения, с 7 организациями проведена </w:t>
      </w:r>
      <w:r>
        <w:rPr>
          <w:rFonts w:ascii="Times New Roman" w:hAnsi="Times New Roman"/>
          <w:u w:color="000000" w:val="single"/>
        </w:rPr>
        <w:t>проверка</w:t>
      </w:r>
      <w:r>
        <w:rPr>
          <w:rFonts w:ascii="Times New Roman" w:hAnsi="Times New Roman"/>
        </w:rPr>
        <w:t xml:space="preserve"> ведения воинского учета .</w:t>
      </w:r>
    </w:p>
    <w:p w14:paraId="C7000000">
      <w:pPr>
        <w:spacing w:after="134" w:before="134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Проведена сверка и проверка первичного учета с картотекой ВК Матвеево-Курганского района.</w:t>
      </w:r>
    </w:p>
    <w:p w14:paraId="C8000000">
      <w:pPr>
        <w:spacing w:after="134" w:before="134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На протяжении года велась работа с гражданами, которые обращались письменно или через сайт в Администрацию Кринично-Лугского сельского поселения по вопросам поиска родственников, воевавших или погибших на территории поселения во время Великой Отечественной войны. Осуществлялась работа по установлению имен и судеб в дополнение к сведениям, содержащимся в ГИС «Память народа».</w:t>
      </w:r>
    </w:p>
    <w:p w14:paraId="C9000000">
      <w:pPr>
        <w:spacing w:after="134" w:before="134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На постоянной основе проводится работа с гражданами по отбору на военную службу по контракту.</w:t>
      </w:r>
    </w:p>
    <w:p w14:paraId="CA000000">
      <w:pPr>
        <w:spacing w:after="134" w:before="134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Для прохождения военной службы по частичной мобилизации в Вооруженные силы Российской Федерации на территории Кринично-Лугского сельского поселения мобилизовано 15 человек.</w:t>
      </w:r>
    </w:p>
    <w:p w14:paraId="C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CC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u w:color="000000" w:val="single"/>
        </w:rPr>
        <w:t>Культура и спорт</w:t>
      </w:r>
    </w:p>
    <w:p w14:paraId="CD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CE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Культурную деятельность в Кринично-Лугском сельском поселении осуществляет подведомственное </w:t>
      </w:r>
      <w:r>
        <w:rPr>
          <w:rFonts w:ascii="Times New Roman" w:hAnsi="Times New Roman"/>
        </w:rPr>
        <w:t>Муниципальном учреждении культуры «Централизованная клубная система Кринично-Лугского сельского поселения Куйбышевского района Ростовской области»</w:t>
      </w:r>
      <w:r>
        <w:rPr>
          <w:rFonts w:ascii="Times New Roman" w:hAnsi="Times New Roman"/>
        </w:rPr>
        <w:t xml:space="preserve"> в состав которого входят 8 филиалов: 7 Сельских Клубов и 1 Сельский Дом Культуры. </w:t>
      </w:r>
      <w:r>
        <w:rPr>
          <w:rFonts w:ascii="Times New Roman" w:hAnsi="Times New Roman"/>
        </w:rPr>
        <w:t>Штатная численность учреждения составляет 20,2 штатных единиц, среднесписочная численность 13,2 штатных единицы. 25 человек оказывают услуги по организации досуга населения.</w:t>
      </w:r>
    </w:p>
    <w:p w14:paraId="CF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</w:rPr>
        <w:t>Доходы учреждения составили  – всего</w:t>
      </w:r>
    </w:p>
    <w:p w14:paraId="D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</w:rPr>
        <w:t> - </w:t>
      </w:r>
      <w:r>
        <w:t>15 509,0</w:t>
      </w:r>
      <w:r>
        <w:rPr>
          <w:rFonts w:ascii="Times New Roman" w:hAnsi="Times New Roman"/>
          <w:b w:val="1"/>
        </w:rPr>
        <w:t xml:space="preserve"> тыс. рублей</w:t>
      </w:r>
    </w:p>
    <w:p w14:paraId="D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в том числе:</w:t>
      </w:r>
    </w:p>
    <w:p w14:paraId="D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-доходы от возмещения коммунальных услуг – 315,3 тыс. рублей</w:t>
      </w:r>
    </w:p>
    <w:p w14:paraId="D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-доходы от оказания платных услуг  – 66,1 тыс. рублей</w:t>
      </w:r>
    </w:p>
    <w:p w14:paraId="D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-субсидии на выполнение муниципального задания  – 15 127,7 тыс. рублей</w:t>
      </w:r>
    </w:p>
    <w:p w14:paraId="D5000000">
      <w:pPr>
        <w:rPr>
          <w:rFonts w:ascii="Times New Roman" w:hAnsi="Times New Roman"/>
          <w:sz w:val="24"/>
          <w:shd w:fill="FFE779" w:val="clear"/>
        </w:rPr>
      </w:pPr>
    </w:p>
    <w:p w14:paraId="D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</w:rPr>
        <w:t>Расходы – всего</w:t>
      </w:r>
    </w:p>
    <w:p w14:paraId="D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</w:rPr>
        <w:t> </w:t>
      </w:r>
      <w:r>
        <w:rPr>
          <w:rFonts w:ascii="Times New Roman" w:hAnsi="Times New Roman"/>
          <w:b w:val="1"/>
        </w:rPr>
        <w:t>–</w:t>
      </w:r>
      <w:r>
        <w:rPr>
          <w:rFonts w:ascii="Times New Roman" w:hAnsi="Times New Roman"/>
          <w:b w:val="1"/>
        </w:rPr>
        <w:t xml:space="preserve"> средства на выполнение муниципального задания 15 127,7 тыс. рублей</w:t>
      </w:r>
    </w:p>
    <w:p w14:paraId="D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в том числе:</w:t>
      </w:r>
    </w:p>
    <w:p w14:paraId="D9000000">
      <w:pPr>
        <w:ind w:firstLine="425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-заработная плата и начисления -9 309,2 тыс. рублей</w:t>
      </w:r>
    </w:p>
    <w:p w14:paraId="DA000000">
      <w:pPr>
        <w:ind w:firstLine="425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-услуги связи –52,2 тыс. рублей</w:t>
      </w:r>
    </w:p>
    <w:p w14:paraId="DB000000">
      <w:pPr>
        <w:ind w:firstLine="425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-коммунальные услуги– 4 593,9 тыс. рублей</w:t>
      </w:r>
    </w:p>
    <w:p w14:paraId="DC000000">
      <w:pPr>
        <w:ind w:firstLine="425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-котельное и печное отопление – 109,7 тыс. рублей</w:t>
      </w:r>
    </w:p>
    <w:p w14:paraId="DD000000">
      <w:pPr>
        <w:ind w:firstLine="425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-уплата налогов – 225,0 тыс. рублей</w:t>
      </w:r>
    </w:p>
    <w:p w14:paraId="DE000000">
      <w:pPr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-услуги по содержанию имущества в сумме 606,4 тыс. рублей (дератизация, содержание пожарной сигнализации, обслуживание газового оборудования, ремонт системы отопления в х. Кринично-Лугский, испытание сопротивления, замена блока СКЗИ, огнезащитная обработка перекрытий)</w:t>
      </w:r>
    </w:p>
    <w:p w14:paraId="DF000000">
      <w:pPr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-прочие работы в сумме 164,2 тыс. рублей(медицинский пред рейсовый и после рейсовый осмотр водителя, медицинский осмотр работников, ПО 1-С бухгалтерия, тревожная кнопка);</w:t>
      </w:r>
    </w:p>
    <w:p w14:paraId="E0000000">
      <w:pPr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-материальные запасы в сумме 67,2 тыс. рублей (33,1 тыс. рублей хозтовары, 34,1 тыс. рублей канцелярские товары).</w:t>
      </w:r>
    </w:p>
    <w:p w14:paraId="E1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- внебюджетные средства 381,3 тыс. рублей</w:t>
      </w:r>
    </w:p>
    <w:p w14:paraId="E2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-ГСМ - 153,6 тыс. рублей </w:t>
      </w:r>
    </w:p>
    <w:p w14:paraId="E3000000">
      <w:pPr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-услуги по содержанию имущества-61,8 тыс. рублей (ремонт отопительной системы, ремонт электроосвещения, техосмотр автомобиля, ремонт оргтехники, </w:t>
      </w:r>
      <w:r>
        <w:rPr>
          <w:rFonts w:ascii="Times New Roman" w:hAnsi="Times New Roman"/>
        </w:rPr>
        <w:t>гидравлические испытания отопительной системы</w:t>
      </w:r>
      <w:r>
        <w:rPr>
          <w:rFonts w:ascii="Times New Roman" w:hAnsi="Times New Roman"/>
        </w:rPr>
        <w:t xml:space="preserve">) </w:t>
      </w:r>
    </w:p>
    <w:p w14:paraId="E4000000">
      <w:pPr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-прочие расходы – 52,4 тыс. рублей (содержание сайта, обучение, сопровождение по 1-С)</w:t>
      </w:r>
    </w:p>
    <w:p w14:paraId="E5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-страхование авто -8,4 тыс. рублей</w:t>
      </w:r>
    </w:p>
    <w:p w14:paraId="E6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-основные средства – 60,1 тыс. рублей (микширный пульт, металлическая дверь) </w:t>
      </w:r>
    </w:p>
    <w:p w14:paraId="E7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-материальные затраты 45,1 тыс. рублей (хозтовары, товары для содержания территории, товары для оргтехники)</w:t>
      </w:r>
    </w:p>
    <w:p w14:paraId="E8000000">
      <w:pPr>
        <w:rPr>
          <w:rFonts w:ascii="Times New Roman" w:hAnsi="Times New Roman"/>
          <w:shd w:fill="FFE779" w:val="clear"/>
        </w:rPr>
      </w:pPr>
    </w:p>
    <w:p w14:paraId="E9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 Муниципальном учреждении культуры «Централизованная клубная система Кринично-Лугского сельского поселения Куйбышевского района Ростовской области» осуществляют свою деятельность:</w:t>
      </w:r>
    </w:p>
    <w:p w14:paraId="EA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26 коллективов самодеятельного творчества, любительские объединения и клубы по интересам в которых участвуют 274 человека.</w:t>
      </w:r>
      <w:r>
        <w:rPr>
          <w:rFonts w:ascii="Times New Roman" w:hAnsi="Times New Roman"/>
          <w:sz w:val="24"/>
        </w:rPr>
        <w:t xml:space="preserve"> </w:t>
      </w:r>
    </w:p>
    <w:p w14:paraId="EB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37 культурно-массовых мероприятия по профилактике асоциальных явлений (пропаганда здорового образа жизни, повышение антинаркотической ориентации). Эти мероприятия посетили 2373 человека. Формы мероприятий этой тематики разные: беседы, тематические вечера отдыха, игровые программы, тематические программы, онлайн видеоролики, рассчитанные на молодежную и подростковую аудиторию.</w:t>
      </w:r>
    </w:p>
    <w:p w14:paraId="E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167 </w:t>
      </w:r>
      <w:r>
        <w:rPr>
          <w:rFonts w:ascii="Times New Roman" w:hAnsi="Times New Roman"/>
          <w:sz w:val="28"/>
        </w:rPr>
        <w:t xml:space="preserve">культурно – массовых мероприятия по патриотическому воспитанию населения, часть из которых проведены в онлайн формате. Эти мероприятия посетители  и просмотрели 22 523 человека. </w:t>
      </w:r>
    </w:p>
    <w:p w14:paraId="E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144 мероприятия, которые посетило 3569 человек направлены на детскую тематику: игровые  утренники, театрализованные праздники, викторины, развлекательные программы для детей до 14 лет проводятся с частотой  1-2 мероприятия в месяц.  </w:t>
      </w:r>
    </w:p>
    <w:p w14:paraId="EE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 </w:t>
      </w:r>
      <w:r>
        <w:rPr>
          <w:rFonts w:ascii="Times New Roman" w:hAnsi="Times New Roman"/>
          <w:sz w:val="28"/>
        </w:rPr>
        <w:t xml:space="preserve">культурно-досуговое мероприятие </w:t>
      </w:r>
      <w:r>
        <w:rPr>
          <w:rFonts w:ascii="Times New Roman" w:hAnsi="Times New Roman"/>
          <w:sz w:val="28"/>
        </w:rPr>
        <w:t>направлено на работу с молодежью от 15 до 35 лет, которые посетило 469 человек.</w:t>
      </w:r>
    </w:p>
    <w:p w14:paraId="EF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культурно-досуговое мероприятие направлено на </w:t>
      </w:r>
      <w:r>
        <w:rPr>
          <w:rFonts w:ascii="Times New Roman" w:hAnsi="Times New Roman"/>
          <w:sz w:val="28"/>
        </w:rPr>
        <w:t>популяризацию семьи, семейных ценностей и традиций, которые посетило 2 168 ч</w:t>
      </w:r>
      <w:r>
        <w:rPr>
          <w:rFonts w:ascii="Times New Roman" w:hAnsi="Times New Roman"/>
          <w:sz w:val="28"/>
        </w:rPr>
        <w:t>еловек. Мероприятия  посвящены Дню семьи любви и верности, Международному дню семьи.</w:t>
      </w:r>
    </w:p>
    <w:p w14:paraId="F0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 мероприятий направлено на </w:t>
      </w:r>
      <w:r>
        <w:rPr>
          <w:rFonts w:ascii="Times New Roman" w:hAnsi="Times New Roman"/>
          <w:sz w:val="28"/>
        </w:rPr>
        <w:t xml:space="preserve">людей с ограниченными возможностями, проведено, которые </w:t>
      </w:r>
      <w:r>
        <w:rPr>
          <w:rFonts w:ascii="Times New Roman" w:hAnsi="Times New Roman"/>
          <w:sz w:val="28"/>
        </w:rPr>
        <w:t xml:space="preserve">посетили 338 человек, это </w:t>
      </w:r>
      <w:r>
        <w:rPr>
          <w:rFonts w:ascii="Times New Roman" w:hAnsi="Times New Roman"/>
          <w:sz w:val="28"/>
        </w:rPr>
        <w:t>концерты и концертные программы ко Дню инвалида, информационные часы, выставка рисунков ко Дню инвалида «От сердца к сердцу», турнир по бильярду, посвященный декаде инвалидов.</w:t>
      </w:r>
      <w:r>
        <w:rPr>
          <w:rFonts w:ascii="Times New Roman" w:hAnsi="Times New Roman"/>
          <w:sz w:val="28"/>
        </w:rPr>
        <w:t xml:space="preserve"> </w:t>
      </w:r>
    </w:p>
    <w:p w14:paraId="F1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кружка по развитию традиционных ремесел, формированию навыков декоративно-прикладного творчества, </w:t>
      </w:r>
      <w:r>
        <w:rPr>
          <w:rFonts w:ascii="Times New Roman" w:hAnsi="Times New Roman"/>
          <w:sz w:val="28"/>
        </w:rPr>
        <w:t xml:space="preserve">изобразительного искусства и </w:t>
      </w:r>
      <w:r>
        <w:rPr>
          <w:rFonts w:ascii="Times New Roman" w:hAnsi="Times New Roman"/>
          <w:sz w:val="28"/>
        </w:rPr>
        <w:t>фотоискусства, в которых 30 участников.</w:t>
      </w:r>
    </w:p>
    <w:p w14:paraId="F2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прошлого года </w:t>
      </w:r>
      <w:r>
        <w:rPr>
          <w:rFonts w:ascii="Times New Roman" w:hAnsi="Times New Roman"/>
          <w:sz w:val="28"/>
        </w:rPr>
        <w:t xml:space="preserve">подключен </w:t>
      </w:r>
      <w:r>
        <w:rPr>
          <w:rFonts w:ascii="Times New Roman" w:hAnsi="Times New Roman"/>
          <w:sz w:val="28"/>
        </w:rPr>
        <w:t>модуль «Пушкинская карта». С помощью него происходит активное привлечение детей и молодежи в возрасте с 14 до 22 лет к изучению художественной культуры и искусства, мотивацию к освоению ценностей отечественной, российской и мировой культуры, повышение культурного уровня подрастающего поколения, развитию патриотизма.</w:t>
      </w:r>
    </w:p>
    <w:p w14:paraId="F3000000">
      <w:pPr>
        <w:ind w:firstLine="709" w:left="0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</w:rPr>
        <w:t xml:space="preserve"> Среди мер социальной поддержки участников СВО и их семей особую роль играет психологическое сопровождение, которое направлено на восстановление и поддержание психического благополучия членов семьи участников СВО, с этой целью </w:t>
      </w:r>
      <w:r>
        <w:rPr>
          <w:rFonts w:ascii="Times New Roman" w:hAnsi="Times New Roman"/>
        </w:rPr>
        <w:t xml:space="preserve">проведен ряд мероприятий в поддержку участников специальной военной операции. Ежемесячно в социальных сетях «Одноклассники» учреждений культуры МУК ЦКС К-ЛСП публикуются </w:t>
      </w:r>
      <w:r>
        <w:rPr>
          <w:rFonts w:ascii="Times New Roman" w:hAnsi="Times New Roman"/>
        </w:rPr>
        <w:t>онлайн</w:t>
      </w:r>
      <w:r>
        <w:rPr>
          <w:rFonts w:ascii="Times New Roman" w:hAnsi="Times New Roman"/>
        </w:rPr>
        <w:t xml:space="preserve"> акции.</w:t>
      </w:r>
    </w:p>
    <w:p w14:paraId="F4000000">
      <w:pPr>
        <w:ind w:firstLine="85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учреждения культуры МУК ЦКС К-ЛСП ведут активную работу с разными слоями населения, разной возрастной категорией и по всем направлениям.  </w:t>
      </w:r>
    </w:p>
    <w:p w14:paraId="F5000000">
      <w:pPr>
        <w:ind w:firstLine="85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ольшое внимание уделяется развитию спорта для разных возрастных групп населения.  В отчетном году</w:t>
      </w:r>
      <w:r>
        <w:rPr>
          <w:rFonts w:ascii="Times New Roman" w:hAnsi="Times New Roman"/>
          <w:sz w:val="28"/>
        </w:rPr>
        <w:t xml:space="preserve"> продолжили  работу любительские объединения спортивной и спортивно-оздоровительной направленности.</w:t>
      </w:r>
    </w:p>
    <w:p w14:paraId="F6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F7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Оценивая итоги работы 2024 года  по сравнению с  периодом  2023 года, можно сделать следующий вывод:</w:t>
      </w:r>
    </w:p>
    <w:p w14:paraId="F8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F9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Количество  обратившихся в Администрацию граждан  с заявлениями  в  2024 г. сократилось в 3 раза по сравнению с 2023 годом.  Количество совершенных нотариально действий за 2024 г. сократилось на 20,0 % по сравнению с 2023 годом. Число переданной информации в текущем отчетном периоде увеличилось на 13,5% в сравнении с 2023 г. Увеличилось количество в</w:t>
      </w:r>
      <w:r>
        <w:rPr>
          <w:rFonts w:ascii="Times New Roman" w:hAnsi="Times New Roman"/>
        </w:rPr>
        <w:t xml:space="preserve">ыданных </w:t>
      </w:r>
      <w:r>
        <w:rPr>
          <w:rFonts w:ascii="Times New Roman" w:hAnsi="Times New Roman"/>
        </w:rPr>
        <w:t>разли</w:t>
      </w:r>
      <w:r>
        <w:rPr>
          <w:rFonts w:ascii="Times New Roman" w:hAnsi="Times New Roman"/>
        </w:rPr>
        <w:t xml:space="preserve">чных выписок и справок в 1,5 раза в сравнении с 2023 годом. </w:t>
      </w:r>
    </w:p>
    <w:p w14:paraId="FA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FB000000">
      <w:pPr>
        <w:ind w:firstLine="720" w:left="0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hd w:fill="FFD821" w:val="clear"/>
        </w:rPr>
        <w:t xml:space="preserve"> Число протоколов </w:t>
      </w:r>
      <w:r>
        <w:rPr>
          <w:rFonts w:ascii="Times New Roman" w:hAnsi="Times New Roman"/>
          <w:sz w:val="28"/>
        </w:rPr>
        <w:t>об административных правонарушениях</w:t>
      </w:r>
      <w:r>
        <w:rPr>
          <w:rFonts w:ascii="Times New Roman" w:hAnsi="Times New Roman"/>
          <w:shd w:fill="FFD821" w:val="clear"/>
        </w:rPr>
        <w:t xml:space="preserve">  </w:t>
      </w:r>
      <w:r>
        <w:rPr>
          <w:rFonts w:ascii="Times New Roman" w:hAnsi="Times New Roman"/>
          <w:shd w:fill="FFD821" w:val="clear"/>
        </w:rPr>
        <w:t xml:space="preserve">составленных </w:t>
      </w:r>
      <w:r>
        <w:rPr>
          <w:rFonts w:ascii="Times New Roman" w:hAnsi="Times New Roman"/>
          <w:shd w:fill="FFD821" w:val="clear"/>
        </w:rPr>
        <w:t>сотрудниками  Администрации  Кринично-Лугского сельского поселения за  2023 год увеличилось на 1 протокол в сравнении с 2023 годом.</w:t>
      </w:r>
    </w:p>
    <w:p w14:paraId="FC000000">
      <w:pPr>
        <w:spacing w:after="200"/>
        <w:ind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hd w:fill="FFD821" w:val="clear"/>
        </w:rPr>
        <w:t> </w:t>
      </w:r>
      <w:bookmarkStart w:id="1" w:name="_GoBack"/>
      <w:bookmarkEnd w:id="1"/>
    </w:p>
    <w:p w14:paraId="FD000000">
      <w:pPr>
        <w:spacing w:after="200"/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 Администрации Кринично-Лугского сельского поселения имеется -колл-центр.</w:t>
      </w:r>
    </w:p>
    <w:p w14:paraId="FE000000">
      <w:pPr>
        <w:spacing w:after="200"/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Время работы:с 03.02.2025 по 19.02.2025 с 8.00 до 16.00 (12.00-13.00 – перерыв). Суббота – воскресенье – выходные. Контактный телефон : 8(86348) 35-4-89. Электронная почта: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FF"/>
          <w:u w:color="000000" w:val="single"/>
        </w:rPr>
        <w:t>admkrlsp2006@mail.ru</w:t>
      </w:r>
      <w:r>
        <w:rPr>
          <w:rFonts w:ascii="Times New Roman" w:hAnsi="Times New Roman"/>
        </w:rPr>
        <w:t>;</w:t>
      </w:r>
    </w:p>
    <w:p w14:paraId="FF000000">
      <w:pPr>
        <w:ind w:firstLine="993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-ящик для сбора предложений, расположен в представительстве Администрации Кринично-Лугского сельского поселения,  по адресу; </w:t>
      </w:r>
    </w:p>
    <w:p w14:paraId="00010000">
      <w:pPr>
        <w:ind w:firstLine="993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х. Новая Надежда, улица Советская, 3. Телефон  8(86348)34-2-42.   </w:t>
      </w:r>
    </w:p>
    <w:p w14:paraId="01010000">
      <w:pPr>
        <w:ind w:firstLine="993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с. Миллерово, улица Ярового, 36, Телефон (86348)33-1-02. </w:t>
      </w:r>
    </w:p>
    <w:p w14:paraId="0201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</w:rPr>
        <w:t> </w:t>
      </w:r>
    </w:p>
    <w:p w14:paraId="0301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04010000">
      <w:pPr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u w:color="000000" w:val="single"/>
        </w:rPr>
        <w:t>Планируемые мероприятия на 2025 год.</w:t>
      </w:r>
    </w:p>
    <w:p w14:paraId="0501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0601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z w:val="14"/>
        </w:rPr>
        <w:t>          </w:t>
      </w:r>
      <w:r>
        <w:rPr>
          <w:rFonts w:ascii="Times New Roman" w:hAnsi="Times New Roman"/>
        </w:rPr>
        <w:t xml:space="preserve"> Продолжать работы по благоустройству территории и наведению порядка на кладбищах, в общественных местах.</w:t>
      </w:r>
    </w:p>
    <w:p w14:paraId="0701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z w:val="14"/>
        </w:rPr>
        <w:t>          </w:t>
      </w:r>
      <w:r>
        <w:rPr>
          <w:rFonts w:ascii="Times New Roman" w:hAnsi="Times New Roman"/>
        </w:rPr>
        <w:t xml:space="preserve"> Подать документы для участия в федеральной целевой  программе для проведения капитального ремонта памятников воинских захоронений. Имеется 9 положительных заключений государственной экспертизы на проведение капитального ремонта воинских захоронений.</w:t>
      </w:r>
    </w:p>
    <w:p w14:paraId="0801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z w:val="14"/>
        </w:rPr>
        <w:t>         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Подать документы в министерство культуры Ростовской области для реализации объекта: «Благоустройство воинского захоронения,</w:t>
      </w:r>
      <w:r>
        <w:rPr>
          <w:rFonts w:ascii="Times New Roman" w:hAnsi="Times New Roman"/>
        </w:rPr>
        <w:t xml:space="preserve"> расположенного по адресу: Ростовская область, Куйбышевский район, </w:t>
      </w:r>
      <w:r>
        <w:t xml:space="preserve">х. Новая Надежда, </w:t>
      </w:r>
      <w:r>
        <w:t>ул. Победы,  1-а</w:t>
      </w:r>
      <w:r>
        <w:rPr>
          <w:rFonts w:ascii="Times New Roman" w:hAnsi="Times New Roman"/>
        </w:rPr>
        <w:t>».</w:t>
      </w:r>
    </w:p>
    <w:p w14:paraId="0901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Подать документы в министерство культуры Ростовской области для изготовления проектно сметной документации для капитального ремонта сельского клуба в с. Миллерово.</w:t>
      </w:r>
    </w:p>
    <w:p w14:paraId="0A010000">
      <w:pPr>
        <w:ind w:firstLine="851" w:left="0"/>
        <w:rPr>
          <w:rFonts w:ascii="Times New Roman" w:hAnsi="Times New Roman"/>
        </w:rPr>
      </w:pPr>
    </w:p>
    <w:p w14:paraId="0B010000">
      <w:pPr>
        <w:ind w:firstLine="0" w:left="144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0C01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Глава Администрации </w:t>
      </w:r>
    </w:p>
    <w:p w14:paraId="0D01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Кринично-Лугского </w:t>
      </w:r>
      <w:r>
        <w:rPr>
          <w:rFonts w:ascii="Times New Roman" w:hAnsi="Times New Roman"/>
        </w:rPr>
        <w:t>сельского поселения                                 Р.А. Юнда</w:t>
      </w:r>
    </w:p>
    <w:p w14:paraId="0E010000">
      <w:pPr>
        <w:rPr>
          <w:shd w:fill="FFE779" w:val="clear"/>
        </w:rPr>
      </w:pPr>
    </w:p>
    <w:sectPr>
      <w:pgSz w:h="16848" w:orient="portrait" w:w="11908"/>
      <w:pgMar w:bottom="850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1305" w:left="2156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/>
      <w:jc w:val="both"/>
    </w:pPr>
    <w:rPr>
      <w:color w:val="000000"/>
      <w:sz w:val="28"/>
    </w:rPr>
  </w:style>
  <w:style w:default="1" w:styleId="Style_1_ch" w:type="character">
    <w:name w:val="Normal"/>
    <w:link w:val="Style_1"/>
    <w:rPr>
      <w:color w:val="000000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color w:val="000000"/>
    </w:rPr>
  </w:style>
  <w:style w:styleId="Style_2_ch" w:type="character">
    <w:name w:val="toc 2"/>
    <w:basedOn w:val="Style_1_ch"/>
    <w:link w:val="Style_2"/>
    <w:rPr>
      <w:color w:val="000000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color w:val="000000"/>
    </w:rPr>
  </w:style>
  <w:style w:styleId="Style_3_ch" w:type="character">
    <w:name w:val="toc 4"/>
    <w:basedOn w:val="Style_1_ch"/>
    <w:link w:val="Style_3"/>
    <w:rPr>
      <w:color w:val="000000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color w:val="000000"/>
    </w:rPr>
  </w:style>
  <w:style w:styleId="Style_4_ch" w:type="character">
    <w:name w:val="toc 6"/>
    <w:basedOn w:val="Style_1_ch"/>
    <w:link w:val="Style_4"/>
    <w:rPr>
      <w:color w:val="000000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color w:val="000000"/>
    </w:rPr>
  </w:style>
  <w:style w:styleId="Style_5_ch" w:type="character">
    <w:name w:val="toc 7"/>
    <w:basedOn w:val="Style_1_ch"/>
    <w:link w:val="Style_5"/>
    <w:rPr>
      <w:color w:val="000000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outlineLvl w:val="2"/>
    </w:pPr>
    <w:rPr>
      <w:b w:val="1"/>
      <w:color w:val="000000"/>
      <w:sz w:val="26"/>
    </w:rPr>
  </w:style>
  <w:style w:styleId="Style_6_ch" w:type="character">
    <w:name w:val="heading 3"/>
    <w:basedOn w:val="Style_1_ch"/>
    <w:link w:val="Style_6"/>
    <w:rPr>
      <w:b w:val="1"/>
      <w:color w:val="000000"/>
      <w:sz w:val="26"/>
    </w:rPr>
  </w:style>
  <w:style w:styleId="Style_7" w:type="paragraph">
    <w:name w:val="List Paragraph"/>
    <w:basedOn w:val="Style_1"/>
    <w:link w:val="Style_7_ch"/>
    <w:pPr>
      <w:ind w:firstLine="0" w:left="720"/>
      <w:contextualSpacing w:val="1"/>
    </w:pPr>
  </w:style>
  <w:style w:styleId="Style_7_ch" w:type="character">
    <w:name w:val="List Paragraph"/>
    <w:basedOn w:val="Style_1_ch"/>
    <w:link w:val="Style_7"/>
  </w:style>
  <w:style w:styleId="Style_8" w:type="paragraph">
    <w:name w:val="toc 3"/>
    <w:basedOn w:val="Style_1"/>
    <w:next w:val="Style_1"/>
    <w:link w:val="Style_8_ch"/>
    <w:uiPriority w:val="39"/>
    <w:pPr>
      <w:ind w:firstLine="0" w:left="400"/>
      <w:jc w:val="left"/>
    </w:pPr>
    <w:rPr>
      <w:color w:val="000000"/>
    </w:rPr>
  </w:style>
  <w:style w:styleId="Style_8_ch" w:type="character">
    <w:name w:val="toc 3"/>
    <w:basedOn w:val="Style_1_ch"/>
    <w:link w:val="Style_8"/>
    <w:rPr>
      <w:color w:val="000000"/>
    </w:rPr>
  </w:style>
  <w:style w:styleId="Style_9" w:type="paragraph">
    <w:name w:val="Default Paragraph Font1"/>
    <w:link w:val="Style_9_ch"/>
    <w:rPr>
      <w:color w:val="000000"/>
      <w:sz w:val="24"/>
    </w:rPr>
  </w:style>
  <w:style w:styleId="Style_9_ch" w:type="character">
    <w:name w:val="Default Paragraph Font1"/>
    <w:link w:val="Style_9"/>
    <w:rPr>
      <w:color w:val="000000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basedOn w:val="Style_1"/>
    <w:next w:val="Style_1"/>
    <w:link w:val="Style_11_ch"/>
    <w:uiPriority w:val="9"/>
    <w:qFormat/>
    <w:pPr>
      <w:spacing w:after="120" w:before="120"/>
      <w:ind/>
      <w:outlineLvl w:val="4"/>
    </w:pPr>
    <w:rPr>
      <w:b w:val="1"/>
      <w:color w:val="000000"/>
      <w:sz w:val="22"/>
    </w:rPr>
  </w:style>
  <w:style w:styleId="Style_11_ch" w:type="character">
    <w:name w:val="heading 5"/>
    <w:basedOn w:val="Style_1_ch"/>
    <w:link w:val="Style_11"/>
    <w:rPr>
      <w:b w:val="1"/>
      <w:color w:val="000000"/>
      <w:sz w:val="22"/>
    </w:rPr>
  </w:style>
  <w:style w:styleId="Style_12" w:type="paragraph">
    <w:name w:val="Гиперссылка1"/>
    <w:link w:val="Style_12_ch"/>
    <w:rPr>
      <w:color w:val="0000FF"/>
      <w:sz w:val="24"/>
      <w:u w:val="single"/>
    </w:rPr>
  </w:style>
  <w:style w:styleId="Style_12_ch" w:type="character">
    <w:name w:val="Гиперссылка1"/>
    <w:link w:val="Style_12"/>
    <w:rPr>
      <w:color w:val="0000FF"/>
      <w:sz w:val="24"/>
      <w:u w:val="single"/>
    </w:rPr>
  </w:style>
  <w:style w:styleId="Style_13" w:type="paragraph">
    <w:name w:val="heading 1"/>
    <w:basedOn w:val="Style_1"/>
    <w:next w:val="Style_1"/>
    <w:link w:val="Style_13_ch"/>
    <w:uiPriority w:val="9"/>
    <w:qFormat/>
    <w:pPr>
      <w:spacing w:after="120" w:before="120"/>
      <w:ind/>
      <w:outlineLvl w:val="0"/>
    </w:pPr>
    <w:rPr>
      <w:b w:val="1"/>
      <w:color w:val="000000"/>
      <w:sz w:val="32"/>
    </w:rPr>
  </w:style>
  <w:style w:styleId="Style_13_ch" w:type="character">
    <w:name w:val="heading 1"/>
    <w:basedOn w:val="Style_1_ch"/>
    <w:link w:val="Style_13"/>
    <w:rPr>
      <w:b w:val="1"/>
      <w:color w:val="000000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</w:style>
  <w:style w:styleId="Style_15_ch" w:type="character">
    <w:name w:val="Footnote"/>
    <w:link w:val="Style_15"/>
  </w:style>
  <w:style w:styleId="Style_16" w:type="paragraph">
    <w:name w:val="toc 1"/>
    <w:basedOn w:val="Style_1"/>
    <w:next w:val="Style_1"/>
    <w:link w:val="Style_16_ch"/>
    <w:uiPriority w:val="39"/>
    <w:pPr>
      <w:ind/>
      <w:jc w:val="left"/>
    </w:pPr>
    <w:rPr>
      <w:b w:val="1"/>
      <w:color w:val="000000"/>
    </w:rPr>
  </w:style>
  <w:style w:styleId="Style_16_ch" w:type="character">
    <w:name w:val="toc 1"/>
    <w:basedOn w:val="Style_1_ch"/>
    <w:link w:val="Style_16"/>
    <w:rPr>
      <w:b w:val="1"/>
      <w:color w:val="000000"/>
    </w:rPr>
  </w:style>
  <w:style w:styleId="Style_17" w:type="paragraph">
    <w:name w:val="Header and Footer"/>
    <w:link w:val="Style_17_ch"/>
    <w:pPr>
      <w:ind/>
      <w:jc w:val="both"/>
    </w:pPr>
    <w:rPr>
      <w:color w:val="000000"/>
      <w:sz w:val="24"/>
    </w:rPr>
  </w:style>
  <w:style w:styleId="Style_17_ch" w:type="character">
    <w:name w:val="Header and Footer"/>
    <w:link w:val="Style_17"/>
    <w:rPr>
      <w:color w:val="000000"/>
      <w:sz w:val="24"/>
    </w:rPr>
  </w:style>
  <w:style w:styleId="Style_18" w:type="paragraph">
    <w:name w:val="Normal1"/>
    <w:link w:val="Style_18_ch"/>
    <w:rPr>
      <w:sz w:val="28"/>
    </w:rPr>
  </w:style>
  <w:style w:styleId="Style_18_ch" w:type="character">
    <w:name w:val="Normal1"/>
    <w:link w:val="Style_18"/>
    <w:rPr>
      <w:sz w:val="28"/>
    </w:rPr>
  </w:style>
  <w:style w:styleId="Style_19" w:type="paragraph">
    <w:name w:val="toc 9"/>
    <w:basedOn w:val="Style_1"/>
    <w:next w:val="Style_1"/>
    <w:link w:val="Style_19_ch"/>
    <w:uiPriority w:val="39"/>
    <w:pPr>
      <w:ind w:firstLine="0" w:left="1600"/>
      <w:jc w:val="left"/>
    </w:pPr>
    <w:rPr>
      <w:color w:val="000000"/>
    </w:rPr>
  </w:style>
  <w:style w:styleId="Style_19_ch" w:type="character">
    <w:name w:val="toc 9"/>
    <w:basedOn w:val="Style_1_ch"/>
    <w:link w:val="Style_19"/>
    <w:rPr>
      <w:color w:val="000000"/>
    </w:rPr>
  </w:style>
  <w:style w:styleId="Style_20" w:type="paragraph">
    <w:name w:val="toc 8"/>
    <w:basedOn w:val="Style_1"/>
    <w:next w:val="Style_1"/>
    <w:link w:val="Style_20_ch"/>
    <w:uiPriority w:val="39"/>
    <w:pPr>
      <w:ind w:firstLine="0" w:left="1400"/>
      <w:jc w:val="left"/>
    </w:pPr>
    <w:rPr>
      <w:color w:val="000000"/>
    </w:rPr>
  </w:style>
  <w:style w:styleId="Style_20_ch" w:type="character">
    <w:name w:val="toc 8"/>
    <w:basedOn w:val="Style_1_ch"/>
    <w:link w:val="Style_20"/>
    <w:rPr>
      <w:color w:val="000000"/>
    </w:rPr>
  </w:style>
  <w:style w:styleId="Style_21" w:type="paragraph">
    <w:name w:val="Hyperlink1"/>
    <w:link w:val="Style_21_ch"/>
    <w:rPr>
      <w:color w:val="0000FF"/>
      <w:sz w:val="24"/>
      <w:u w:val="single"/>
    </w:rPr>
  </w:style>
  <w:style w:styleId="Style_21_ch" w:type="character">
    <w:name w:val="Hyperlink1"/>
    <w:link w:val="Style_21"/>
    <w:rPr>
      <w:color w:val="0000FF"/>
      <w:sz w:val="24"/>
      <w:u w:val="single"/>
    </w:rPr>
  </w:style>
  <w:style w:styleId="Style_22" w:type="paragraph">
    <w:name w:val="toc 5"/>
    <w:basedOn w:val="Style_1"/>
    <w:next w:val="Style_1"/>
    <w:link w:val="Style_22_ch"/>
    <w:uiPriority w:val="39"/>
    <w:pPr>
      <w:ind w:firstLine="0" w:left="800"/>
      <w:jc w:val="left"/>
    </w:pPr>
    <w:rPr>
      <w:color w:val="000000"/>
    </w:rPr>
  </w:style>
  <w:style w:styleId="Style_22_ch" w:type="character">
    <w:name w:val="toc 5"/>
    <w:basedOn w:val="Style_1_ch"/>
    <w:link w:val="Style_22"/>
    <w:rPr>
      <w:color w:val="000000"/>
    </w:rPr>
  </w:style>
  <w:style w:styleId="Style_23" w:type="paragraph">
    <w:name w:val="Обычный1"/>
    <w:link w:val="Style_23_ch"/>
    <w:rPr>
      <w:sz w:val="28"/>
    </w:rPr>
  </w:style>
  <w:style w:styleId="Style_23_ch" w:type="character">
    <w:name w:val="Обычный1"/>
    <w:link w:val="Style_23"/>
    <w:rPr>
      <w:sz w:val="28"/>
    </w:rPr>
  </w:style>
  <w:style w:styleId="Style_24" w:type="paragraph">
    <w:name w:val="Subtitle"/>
    <w:basedOn w:val="Style_1"/>
    <w:next w:val="Style_1"/>
    <w:link w:val="Style_24_ch"/>
    <w:uiPriority w:val="11"/>
    <w:qFormat/>
    <w:rPr>
      <w:i w:val="1"/>
      <w:sz w:val="24"/>
    </w:rPr>
  </w:style>
  <w:style w:styleId="Style_24_ch" w:type="character">
    <w:name w:val="Subtitle"/>
    <w:basedOn w:val="Style_1_ch"/>
    <w:link w:val="Style_24"/>
    <w:rPr>
      <w:i w:val="1"/>
      <w:sz w:val="24"/>
    </w:rPr>
  </w:style>
  <w:style w:styleId="Style_25" w:type="paragraph">
    <w:name w:val="Title"/>
    <w:basedOn w:val="Style_1"/>
    <w:next w:val="Style_1"/>
    <w:link w:val="Style_25_ch"/>
    <w:uiPriority w:val="10"/>
    <w:qFormat/>
    <w:pPr>
      <w:spacing w:after="567" w:before="567"/>
      <w:ind/>
      <w:jc w:val="center"/>
    </w:pPr>
    <w:rPr>
      <w:b w:val="1"/>
      <w:caps w:val="1"/>
      <w:color w:val="000000"/>
      <w:sz w:val="40"/>
    </w:rPr>
  </w:style>
  <w:style w:styleId="Style_25_ch" w:type="character">
    <w:name w:val="Title"/>
    <w:basedOn w:val="Style_1_ch"/>
    <w:link w:val="Style_25"/>
    <w:rPr>
      <w:b w:val="1"/>
      <w:caps w:val="1"/>
      <w:color w:val="000000"/>
      <w:sz w:val="40"/>
    </w:rPr>
  </w:style>
  <w:style w:styleId="Style_26" w:type="paragraph">
    <w:name w:val="heading 4"/>
    <w:basedOn w:val="Style_1"/>
    <w:next w:val="Style_1"/>
    <w:link w:val="Style_26_ch"/>
    <w:uiPriority w:val="9"/>
    <w:qFormat/>
    <w:pPr>
      <w:spacing w:after="120" w:before="120"/>
      <w:ind/>
      <w:outlineLvl w:val="3"/>
    </w:pPr>
    <w:rPr>
      <w:b w:val="1"/>
      <w:sz w:val="24"/>
    </w:rPr>
  </w:style>
  <w:style w:styleId="Style_26_ch" w:type="character">
    <w:name w:val="heading 4"/>
    <w:basedOn w:val="Style_1_ch"/>
    <w:link w:val="Style_26"/>
    <w:rPr>
      <w:b w:val="1"/>
      <w:sz w:val="24"/>
    </w:rPr>
  </w:style>
  <w:style w:styleId="Style_27" w:type="paragraph">
    <w:name w:val="heading 2"/>
    <w:basedOn w:val="Style_1"/>
    <w:next w:val="Style_1"/>
    <w:link w:val="Style_27_ch"/>
    <w:uiPriority w:val="9"/>
    <w:qFormat/>
    <w:pPr>
      <w:spacing w:after="120" w:before="120"/>
      <w:ind/>
      <w:outlineLvl w:val="1"/>
    </w:pPr>
    <w:rPr>
      <w:b w:val="1"/>
      <w:color w:val="000000"/>
    </w:rPr>
  </w:style>
  <w:style w:styleId="Style_27_ch" w:type="character">
    <w:name w:val="heading 2"/>
    <w:basedOn w:val="Style_1_ch"/>
    <w:link w:val="Style_27"/>
    <w:rPr>
      <w:b w:val="1"/>
      <w:color w:val="000000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2025-01-30T13:15:40Z</dcterms:modified>
</cp:coreProperties>
</file>