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ИНФОРМАЦИЯ</w:t>
      </w:r>
    </w:p>
    <w:p w14:paraId="02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об итогах работы Администрации Кринично-Лугского </w:t>
      </w:r>
      <w:r>
        <w:rPr>
          <w:rFonts w:ascii="Times New Roman" w:hAnsi="Times New Roman"/>
        </w:rPr>
        <w:t>сельского</w:t>
      </w:r>
    </w:p>
    <w:p w14:paraId="03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поселения за 1 полугодие 2024 года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5000000">
      <w:pPr>
        <w:ind w:firstLine="1560" w:left="-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 работе Администрации Кринично-Лугского сельского поселения можно получить информацию на официальном сайте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www.krinichno-lugskoesp.ru</w:t>
      </w:r>
    </w:p>
    <w:p w14:paraId="06000000">
      <w:pPr>
        <w:ind w:firstLine="1418" w:left="-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 Основные направления деятельности Администрации определены ФЗ 131-ФЗ, Уставом сельского поселения,  важным направлением  в работе является взаимодействие с депутатами, жителями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комфортного проживания населения.</w:t>
      </w:r>
    </w:p>
    <w:p w14:paraId="07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территории Кринично-Лугского сельского поселения проживает   3820 человек. </w:t>
      </w:r>
    </w:p>
    <w:p w14:paraId="09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 </w:t>
      </w:r>
    </w:p>
    <w:p w14:paraId="0A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Организационная работа</w:t>
      </w:r>
    </w:p>
    <w:p w14:paraId="0B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0C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За 1 полугодие 2024  года Администрацией сельского поселения</w:t>
      </w:r>
    </w:p>
    <w:p w14:paraId="0D000000">
      <w:pPr>
        <w:ind w:firstLine="720" w:left="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Произведено 81  нотариальное действие;</w:t>
      </w:r>
    </w:p>
    <w:p w14:paraId="0E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Выдано 199 различных выписок и справок (80 выписок ЛПХ, 26 отказов от приобретения ЗУ, 59 архивных справок в паспортный стол, 27 разрешений на складирование строительных материалов, 2 характеристики и 5 актов о фактическом проживании);</w:t>
      </w:r>
    </w:p>
    <w:p w14:paraId="0F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·</w:t>
      </w:r>
      <w:r>
        <w:rPr>
          <w:rFonts w:ascii="Times New Roman" w:hAnsi="Times New Roman"/>
          <w:sz w:val="14"/>
        </w:rPr>
        <w:t>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Передано информации в вышестоящие органы – 285 по электронному документообороту в системе «Дело» и 189 в бумажном документообороте;</w:t>
      </w:r>
    </w:p>
    <w:p w14:paraId="10000000">
      <w:pPr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11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Администрацией сельского поселения  было принято 29 распоряжений, 67 распоряжений по  личному составу, 59 постановлений.</w:t>
      </w:r>
    </w:p>
    <w:p w14:paraId="12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Совместная и постоянная работа ведется с депутатами Собрания депутатов сельского поселения. За первое полугодие 2024 года проведено 6 заседаний, на которых принято 17 решений. Проведено 3 публичных  </w:t>
      </w:r>
      <w:r>
        <w:rPr>
          <w:rFonts w:ascii="Times New Roman" w:hAnsi="Times New Roman"/>
        </w:rPr>
        <w:t>слушания</w:t>
      </w:r>
      <w:r>
        <w:rPr>
          <w:rFonts w:ascii="Times New Roman" w:hAnsi="Times New Roman"/>
        </w:rPr>
        <w:t xml:space="preserve"> на которых рассмотрено 3 вопроса:  по исполнению бюджета Кринично-Лугского сельского поселения за 2023 год, по проекту принятия Устава муниципального образования «</w:t>
      </w:r>
      <w:r>
        <w:rPr>
          <w:rFonts w:ascii="Times New Roman" w:hAnsi="Times New Roman"/>
        </w:rPr>
        <w:t>Кринично-Лугское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селькое</w:t>
      </w:r>
      <w:r>
        <w:rPr>
          <w:rFonts w:ascii="Times New Roman" w:hAnsi="Times New Roman"/>
        </w:rPr>
        <w:t xml:space="preserve"> поселение» и о внесении изменений и дополнений в Устав  муниципального образования «</w:t>
      </w:r>
      <w:r>
        <w:rPr>
          <w:rFonts w:ascii="Times New Roman" w:hAnsi="Times New Roman"/>
        </w:rPr>
        <w:t>Кринично-Лугское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селькое</w:t>
      </w:r>
      <w:r>
        <w:rPr>
          <w:rFonts w:ascii="Times New Roman" w:hAnsi="Times New Roman"/>
        </w:rPr>
        <w:t xml:space="preserve"> поселение».</w:t>
      </w:r>
    </w:p>
    <w:p w14:paraId="13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отчетный  период в Администрацию  Кринично-Лугского сельского поселения  поступило  4 письменных  заявлений. Тематика обращений это  жалобы на содержание домашних животных и правила земле застройки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лагоустройство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территории, содержание и выгул домашних животных. Все вопросы решались напрямую  с заявителями и  были даны  ответы  в установленные сроки.  </w:t>
      </w:r>
    </w:p>
    <w:p w14:paraId="14000000">
      <w:pPr>
        <w:spacing w:after="80" w:before="80"/>
        <w:ind/>
        <w:jc w:val="center"/>
        <w:rPr>
          <w:rFonts w:ascii="Times New Roman" w:hAnsi="Times New Roman"/>
          <w:b w:val="1"/>
        </w:rPr>
      </w:pPr>
    </w:p>
    <w:p w14:paraId="15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СВЕДЕНИЯ</w:t>
      </w:r>
    </w:p>
    <w:p w14:paraId="16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о ходе исполнения бюджета Кринично-Лугского</w:t>
      </w:r>
    </w:p>
    <w:p w14:paraId="17000000">
      <w:pPr>
        <w:spacing w:after="80" w:before="8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сельского поселения</w:t>
      </w:r>
    </w:p>
    <w:p w14:paraId="18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Бюджет Кринично-Лугского сельского поселения за 1 полугодие 2024  года исполнен по доходам в сумме 14 665,6 тыс. рублей, или 52,4 процента к годовому плану и по расходам в сумме 11 524,6 тыс. рублей или 40,4 процента к плану года с профицитом в сумме 3 140,9 тыс. рублей.</w:t>
      </w:r>
    </w:p>
    <w:p w14:paraId="19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Налоговые и неналоговые доходы бюджета поселения исполнены в сумме 5 822,5 тыс. рублей, или 40,7 процентов к годовым плановым назначениям. Причина неисполнения годовых назначений – срок уплаты основного источника доходов - земельного налога 01.12.2024 года.</w:t>
      </w:r>
    </w:p>
    <w:p w14:paraId="1A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первом полугодии 2024 года основным источником налоговых и неналоговых доходов </w:t>
      </w:r>
      <w:r>
        <w:rPr>
          <w:rFonts w:ascii="Times New Roman" w:hAnsi="Times New Roman"/>
        </w:rPr>
        <w:t>является е</w:t>
      </w:r>
      <w:r>
        <w:rPr>
          <w:rFonts w:ascii="Times New Roman" w:hAnsi="Times New Roman"/>
          <w:u w:color="000000" w:val="single"/>
        </w:rPr>
        <w:t>диный сельскохозяйственный налог</w:t>
      </w:r>
      <w:r>
        <w:rPr>
          <w:rFonts w:ascii="Times New Roman" w:hAnsi="Times New Roman"/>
        </w:rPr>
        <w:t xml:space="preserve"> на его долю приходится</w:t>
      </w:r>
      <w:r>
        <w:rPr>
          <w:rFonts w:ascii="Times New Roman" w:hAnsi="Times New Roman"/>
        </w:rPr>
        <w:t xml:space="preserve"> 66,3 процентов,  налог поступил в сумме 3 858,5 тыс. рублей. </w:t>
      </w:r>
    </w:p>
    <w:p w14:paraId="1B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втором месте в структуре доходов </w:t>
      </w:r>
      <w:r>
        <w:rPr>
          <w:rFonts w:ascii="Times New Roman" w:hAnsi="Times New Roman"/>
        </w:rPr>
        <w:t>находится н</w:t>
      </w:r>
      <w:r>
        <w:rPr>
          <w:rFonts w:ascii="Times New Roman" w:hAnsi="Times New Roman"/>
          <w:u w:color="000000" w:val="single"/>
        </w:rPr>
        <w:t>алог на доходы физических лиц</w:t>
      </w:r>
      <w:r>
        <w:rPr>
          <w:rFonts w:ascii="Times New Roman" w:hAnsi="Times New Roman"/>
        </w:rPr>
        <w:t xml:space="preserve"> на его долю приходится</w:t>
      </w:r>
      <w:r>
        <w:rPr>
          <w:rFonts w:ascii="Times New Roman" w:hAnsi="Times New Roman"/>
        </w:rPr>
        <w:t xml:space="preserve"> 22,6 процентов. Налог поступил в сумме 1 315,3 тыс. рублей, годовой план исполнен на 39,4 %. </w:t>
      </w:r>
    </w:p>
    <w:p w14:paraId="1C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На третьем месте в структуре доходов находится  </w:t>
      </w:r>
      <w:r>
        <w:rPr>
          <w:rFonts w:ascii="Times New Roman" w:hAnsi="Times New Roman"/>
          <w:u w:color="000000" w:val="single"/>
        </w:rPr>
        <w:t>земельный налог,</w:t>
      </w:r>
      <w:r>
        <w:rPr>
          <w:rFonts w:ascii="Times New Roman" w:hAnsi="Times New Roman"/>
        </w:rPr>
        <w:t xml:space="preserve"> на его долю приходится 13,1 процентов. Фактическое поступление земельного налога составило 764,3 тыс. рублей план года исполнен на 11,6%.</w:t>
      </w:r>
    </w:p>
    <w:p w14:paraId="1D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Безвозмездные поступления от других бюджетов Российской Федерации поступили в сумме 8 843,1 тыс. рублей, в структуре доходов 63,7 процентов к годовым назначениям. Наибольший удельный вес в структуре безвозмездных поступлений занимает дотация на выравнивание бюджетной обеспеченности бюджету поселения –8 100,0 тыс. рублей, план исполнен на 69,1%. В сравнении с прошлым годом объем поступлений безвозмездных поступлений на прежнем уровне. </w:t>
      </w:r>
    </w:p>
    <w:p w14:paraId="1E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Дотации бюджетам сельских поселений на поддержку мер по обеспечению сбалансированности бюджетов поступили в сумме 612,0 тыс. рублей, на 249 тыс. рублей больше прошлого года.</w:t>
      </w:r>
    </w:p>
    <w:p w14:paraId="1F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В сумме 131,1 тыс. рублей, поступили субвенции на выполнение переданных полномочий.</w:t>
      </w:r>
    </w:p>
    <w:p w14:paraId="20000000">
      <w:pPr>
        <w:ind w:firstLine="900" w:left="0"/>
        <w:rPr>
          <w:rFonts w:ascii="Times New Roman" w:hAnsi="Times New Roman"/>
        </w:rPr>
      </w:pPr>
      <w:r>
        <w:rPr>
          <w:rFonts w:ascii="Times New Roman" w:hAnsi="Times New Roman"/>
        </w:rPr>
        <w:t>Вопрос сокращения  недоимки находится на постоянном контроле, от этого зависит наполняемость бюджета поселения.</w:t>
      </w:r>
    </w:p>
    <w:p w14:paraId="21000000">
      <w:pPr>
        <w:ind w:firstLine="900" w:left="0"/>
        <w:rPr>
          <w:rFonts w:ascii="Times New Roman" w:hAnsi="Times New Roman"/>
        </w:rPr>
      </w:pPr>
      <w:r>
        <w:rPr>
          <w:rFonts w:ascii="Times New Roman" w:hAnsi="Times New Roman"/>
          <w:color w:val="212121"/>
        </w:rPr>
        <w:t>Специалистами администрации ведется активная работа по сокращению задолженности.</w:t>
      </w:r>
    </w:p>
    <w:p w14:paraId="22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погашения недоимки в бюджет поселения проведена следующая работа: информирование население о необходимости уплаты налогов через радиогазеты, направленные писем в организации, распространение листовок, общение инспектора с населением, вручение квитанций об уплате недоимки в количестве 405 штук, систематическое проведение заседаний Координационного совета по вопросам собираемости налогов и других обязательных платежей, проведено  заседания, на </w:t>
      </w:r>
      <w:r>
        <w:rPr>
          <w:rFonts w:ascii="Times New Roman" w:hAnsi="Times New Roman"/>
        </w:rPr>
        <w:t>которые  приглашено 23 человека,  в результате погашена</w:t>
      </w:r>
      <w:r>
        <w:rPr>
          <w:rFonts w:ascii="Times New Roman" w:hAnsi="Times New Roman"/>
        </w:rPr>
        <w:t xml:space="preserve"> недоимка на сумму 17,0 тыс. рублей.</w:t>
      </w:r>
    </w:p>
    <w:p w14:paraId="23000000">
      <w:pPr>
        <w:ind w:firstLine="900" w:left="0"/>
        <w:rPr>
          <w:rFonts w:ascii="Times New Roman" w:hAnsi="Times New Roman"/>
        </w:rPr>
      </w:pPr>
      <w:r>
        <w:rPr>
          <w:rFonts w:ascii="Times New Roman" w:hAnsi="Times New Roman"/>
        </w:rPr>
        <w:t>Задолженность по налоговым платежам в бюджет поселения на 01.05.2024 г. составила 2438,7 тыс. рублей, в том числе:</w:t>
      </w:r>
    </w:p>
    <w:p w14:paraId="24000000">
      <w:pPr>
        <w:rPr>
          <w:rFonts w:ascii="Times New Roman" w:hAnsi="Times New Roman"/>
        </w:rPr>
      </w:pPr>
      <w:r>
        <w:rPr>
          <w:rFonts w:ascii="Times New Roman" w:hAnsi="Times New Roman"/>
        </w:rPr>
        <w:t>- 493,7 тыс. рублей - НДФЛ;</w:t>
      </w:r>
    </w:p>
    <w:p w14:paraId="25000000">
      <w:pPr>
        <w:rPr>
          <w:rFonts w:ascii="Times New Roman" w:hAnsi="Times New Roman"/>
        </w:rPr>
      </w:pPr>
      <w:r>
        <w:rPr>
          <w:rFonts w:ascii="Times New Roman" w:hAnsi="Times New Roman"/>
        </w:rPr>
        <w:t>- 410,7 тыс. рублей - упрощенная система налогообложения;</w:t>
      </w:r>
    </w:p>
    <w:p w14:paraId="26000000">
      <w:pPr>
        <w:rPr>
          <w:rFonts w:ascii="Times New Roman" w:hAnsi="Times New Roman"/>
        </w:rPr>
      </w:pPr>
      <w:r>
        <w:rPr>
          <w:rFonts w:ascii="Times New Roman" w:hAnsi="Times New Roman"/>
        </w:rPr>
        <w:t>- 50,6 тыс. рублей - ЕСХН;</w:t>
      </w:r>
    </w:p>
    <w:p w14:paraId="2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- 763,7 тыс. рублей - транспортный налог; </w:t>
      </w:r>
    </w:p>
    <w:p w14:paraId="28000000">
      <w:pPr>
        <w:rPr>
          <w:rFonts w:ascii="Times New Roman" w:hAnsi="Times New Roman"/>
        </w:rPr>
      </w:pPr>
      <w:r>
        <w:rPr>
          <w:rFonts w:ascii="Times New Roman" w:hAnsi="Times New Roman"/>
        </w:rPr>
        <w:t>- 199,1 тыс. рублей – налог на имущество физических лиц;</w:t>
      </w:r>
    </w:p>
    <w:p w14:paraId="29000000">
      <w:pPr>
        <w:rPr>
          <w:rFonts w:ascii="Times New Roman" w:hAnsi="Times New Roman"/>
        </w:rPr>
      </w:pPr>
      <w:r>
        <w:rPr>
          <w:rFonts w:ascii="Times New Roman" w:hAnsi="Times New Roman"/>
        </w:rPr>
        <w:t>- 510,4 тыс. руб. – земельный налог.</w:t>
      </w:r>
    </w:p>
    <w:p w14:paraId="2A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всей суммы задолженности невозможна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</w:rPr>
        <w:t xml:space="preserve"> взысканию 1028,9 тыс. рублей (НДФЛ - 372,9 тыс. рублей, Налог на имущество физических лиц - 28,1 тыс. рублей, транспортный налог - 480,0 тыс. рублей,  земельный налог - 147,9 тыс. рублей).</w:t>
      </w:r>
    </w:p>
    <w:p w14:paraId="2B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Основная причина образования задолженности из-за отсутствия факта проживания (зарегистрированы, но не проживают, не зарегистрированы и не проживают) и несвоевременной оплаты  по сроку оплаты 01.12.2023 г.</w:t>
      </w:r>
    </w:p>
    <w:p w14:paraId="2C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В целом по поселению недоимка сократилась на 365,3 тыс. рублей.</w:t>
      </w:r>
    </w:p>
    <w:p w14:paraId="2D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действующим законодательством определенная категория граждан освобождена от налоговой обязанности полностью или частично, но предоставление льготы носит заявительный характер. Для ее оформления необходимо обратиться в налоговую инспекцию или в Администрацию  поселения к сотруднику по налогам в рабочие дни.</w:t>
      </w:r>
    </w:p>
    <w:p w14:paraId="2E000000"/>
    <w:p w14:paraId="2F000000">
      <w:pPr>
        <w:ind w:firstLine="9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соответствии с действующим законодательством определенная категория граждан освобождена от налоговой обязанности полностью или частично, но предоставление льготы носит заявительный характер. Для ее оформления необходимо обратиться в налоговую инспекцию или в Администрацию  поселения к сотруднику по налогам в рабочие дни.</w:t>
      </w:r>
    </w:p>
    <w:p w14:paraId="30000000">
      <w:pPr>
        <w:ind w:firstLine="851" w:left="0"/>
        <w:rPr>
          <w:shd w:fill="FFD821" w:val="clear"/>
        </w:rPr>
      </w:pPr>
    </w:p>
    <w:p w14:paraId="31000000">
      <w:pPr>
        <w:spacing w:after="200"/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Бюджетная политика Кринично-Лугского сельского поселения направлена на обеспечение первоочередных задач социально-экономического развития поселения при одновременном обеспечении устойчивости и сбалансированности бюджетной системы. В полном объеме были запланированы первоочередные социально - значимые расходы, предусмотрены расходы на ежегодную индексацию расходов, в том числе увеличение заработной платы работников бюджетной сферы в рамках указов Президента Российской Федерации 2012 года и исходя из повышения минимального </w:t>
      </w:r>
      <w:r>
        <w:rPr>
          <w:rFonts w:ascii="Times New Roman" w:hAnsi="Times New Roman"/>
        </w:rPr>
        <w:t>размера оплаты труда</w:t>
      </w:r>
      <w:r>
        <w:rPr>
          <w:rFonts w:ascii="Times New Roman" w:hAnsi="Times New Roman"/>
        </w:rPr>
        <w:t xml:space="preserve">. Расходы на оплату труда органа местного самоуправления и работников подведомственного учреждения культуры составили 7 512,3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.р</w:t>
      </w:r>
      <w:r>
        <w:rPr>
          <w:rFonts w:ascii="Times New Roman" w:hAnsi="Times New Roman"/>
        </w:rPr>
        <w:t>ублей</w:t>
      </w:r>
      <w:r>
        <w:rPr>
          <w:rFonts w:ascii="Times New Roman" w:hAnsi="Times New Roman"/>
        </w:rPr>
        <w:t xml:space="preserve"> или 65,2 % от общей суммы расходов. Расходы на оплату коммунальных услуг (в том числе уличное освещение) в сумме 2 236,2 тыс. рублей или 25,9 % от общей суммы расходов.</w:t>
      </w:r>
    </w:p>
    <w:p w14:paraId="32000000">
      <w:pPr>
        <w:ind w:firstLine="851" w:left="0"/>
        <w:rPr>
          <w:rFonts w:ascii="Times New Roman" w:hAnsi="Times New Roman"/>
          <w:shd w:fill="FFD821" w:val="clear"/>
        </w:rPr>
      </w:pPr>
      <w:r>
        <w:rPr>
          <w:rFonts w:ascii="Times New Roman" w:hAnsi="Times New Roman"/>
        </w:rPr>
        <w:t xml:space="preserve">Основные направления  расходов местного бюджета: </w:t>
      </w:r>
    </w:p>
    <w:p w14:paraId="33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общегосударственные вопросы – 3 983,1тыс. рублей или 34,6% от общей суммы расходов;</w:t>
      </w:r>
    </w:p>
    <w:p w14:paraId="34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национальная оборона – 130,9 тыс. рублей или 1,1 % от общей суммы расходов;</w:t>
      </w:r>
    </w:p>
    <w:p w14:paraId="35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национальная безопасность и правоохранительная деятельность – 14,9 тыс. рублей или 0,1% от общей суммы расходов;</w:t>
      </w:r>
    </w:p>
    <w:p w14:paraId="36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национальная экономика – 3,3 тыс. рублей или 0,1% от общей суммы расходов;</w:t>
      </w:r>
    </w:p>
    <w:p w14:paraId="37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жилищно-коммунальное хозяйство - 917,9 тыс. рублей или 8,0 % от общей суммы расходов; </w:t>
      </w:r>
    </w:p>
    <w:p w14:paraId="38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образование - 0,0 тыс. рублей; </w:t>
      </w:r>
    </w:p>
    <w:p w14:paraId="39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культура, кинематография – 6 409,0 тыс. рублей или 55,6 % от общей суммы расходов; </w:t>
      </w:r>
    </w:p>
    <w:p w14:paraId="3A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социальная политика - 65,5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.р</w:t>
      </w:r>
      <w:r>
        <w:rPr>
          <w:rFonts w:ascii="Times New Roman" w:hAnsi="Times New Roman"/>
        </w:rPr>
        <w:t>ублей</w:t>
      </w:r>
      <w:r>
        <w:rPr>
          <w:rFonts w:ascii="Times New Roman" w:hAnsi="Times New Roman"/>
        </w:rPr>
        <w:t xml:space="preserve"> или 0,5 % от общей суммы расходов;</w:t>
      </w:r>
    </w:p>
    <w:p w14:paraId="3B000000">
      <w:pPr>
        <w:numPr>
          <w:ilvl w:val="0"/>
          <w:numId w:val="1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физическая культура и спорт - 0,0 тыс. рублей. </w:t>
      </w:r>
    </w:p>
    <w:p w14:paraId="3C000000">
      <w:pPr>
        <w:ind w:firstLine="851" w:left="0"/>
        <w:rPr>
          <w:rFonts w:ascii="Times New Roman" w:hAnsi="Times New Roman"/>
        </w:rPr>
      </w:pPr>
    </w:p>
    <w:p w14:paraId="3D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бюджете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Кринично-Лугского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за 1 полугодие 2024 года отсутствует просроченная кредиторская задолженность.</w:t>
      </w:r>
    </w:p>
    <w:p w14:paraId="3E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Кринично-Лугского сельского поселения  11 муниципальных программ. На реализацию муниципальных программ израсходовано 11 138,2 тыс. рублей, или 40,5 процента к годовым плановым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назначениям.</w:t>
      </w:r>
    </w:p>
    <w:p w14:paraId="3F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Расходы бюджета поселения израсходованы по следующим направлениям:</w:t>
      </w:r>
    </w:p>
    <w:p w14:paraId="40000000">
      <w:pPr>
        <w:pStyle w:val="Style_1"/>
        <w:numPr>
          <w:ilvl w:val="0"/>
          <w:numId w:val="2"/>
        </w:numPr>
        <w:ind w:firstLine="851" w:left="0"/>
      </w:pPr>
      <w:r>
        <w:rPr>
          <w:b w:val="1"/>
        </w:rPr>
        <w:t>муниципальная программа «Обеспечение качественными жилищно-коммунальными услугами населения»</w:t>
      </w:r>
      <w:r>
        <w:t xml:space="preserve">, программа исполнена на 44,6 % в сумме 917,9 тыс. рублей, расходы направлены </w:t>
      </w:r>
      <w:r>
        <w:t>на</w:t>
      </w:r>
      <w:r>
        <w:t>:</w:t>
      </w:r>
    </w:p>
    <w:p w14:paraId="41000000">
      <w:pPr>
        <w:ind w:firstLine="851" w:left="0"/>
        <w:rPr>
          <w:rFonts w:ascii="Times New Roman" w:hAnsi="Times New Roman"/>
        </w:rPr>
      </w:pPr>
      <w:r>
        <w:rPr>
          <w:u w:val="single"/>
        </w:rPr>
        <w:t>содержание памятников и кладбищ</w:t>
      </w:r>
      <w:r>
        <w:t xml:space="preserve"> </w:t>
      </w:r>
      <w:r>
        <w:rPr>
          <w:rFonts w:ascii="Times New Roman" w:hAnsi="Times New Roman"/>
        </w:rPr>
        <w:t xml:space="preserve">в сумме 176,9 тыс. рублей, план исполнен на 80,9% (приобретение стройматериалов 87,0 тыс. рублей, </w:t>
      </w:r>
      <w:r>
        <w:rPr>
          <w:rFonts w:ascii="Times New Roman" w:hAnsi="Times New Roman"/>
        </w:rPr>
        <w:t>акарицидную</w:t>
      </w:r>
      <w:r>
        <w:rPr>
          <w:rFonts w:ascii="Times New Roman" w:hAnsi="Times New Roman"/>
        </w:rPr>
        <w:t xml:space="preserve"> обработку кладбищ -14,9 тыс. рублей, вывоз несанкционированных свалок -75,0 тыс. рублей);</w:t>
      </w:r>
    </w:p>
    <w:p w14:paraId="42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u w:color="000000" w:val="single"/>
        </w:rPr>
        <w:t>благоустройство и содержание зеленых насаждений</w:t>
      </w:r>
      <w:r>
        <w:rPr>
          <w:rFonts w:ascii="Times New Roman" w:hAnsi="Times New Roman"/>
        </w:rPr>
        <w:t xml:space="preserve"> в сумме 110,9 тыс. рублей, план года исполнен на 32,8% (приобретение стенда почетные граждане и национальный проект 20,9 тыс. рублей, изготовление смет на благоустройство территории воинского захоронения в х. Новая Надежда в сумме 50,0 тыс. рублей и перерасчет сметы устройство ограждения в с. Миллерово в сумме 40,0 тыс. рублей);</w:t>
      </w:r>
    </w:p>
    <w:p w14:paraId="43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u w:color="000000" w:val="single"/>
        </w:rPr>
        <w:t>Расходы по содержанию и оплата за электроэнергию уличного освещения</w:t>
      </w:r>
      <w:r>
        <w:rPr>
          <w:rFonts w:ascii="Times New Roman" w:hAnsi="Times New Roman"/>
        </w:rPr>
        <w:t xml:space="preserve"> в сумме 1630,1 тыс. рублей, план года исполнен на 42,3 %, (оплата электроэнергии уличного освещения  – 473,9 тыс. рублей, оплата за содержание уличного освещения 156,1 тыс. рублей).</w:t>
      </w:r>
    </w:p>
    <w:p w14:paraId="44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2.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муниципальная программа «Развитие культуры и туризма»</w:t>
      </w:r>
      <w:r>
        <w:rPr>
          <w:rFonts w:ascii="Times New Roman" w:hAnsi="Times New Roman"/>
        </w:rPr>
        <w:t xml:space="preserve"> программа исполнена на 45,0% в сумме 6 409,0 тыс. рублей расходы направлены:</w:t>
      </w:r>
    </w:p>
    <w:p w14:paraId="45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на перечисление субсидии МУК ЦКС К-ЛСП на выполнение муниципального задания.</w:t>
      </w:r>
    </w:p>
    <w:p w14:paraId="46000000">
      <w:pPr>
        <w:ind w:firstLine="851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3.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rFonts w:ascii="Times New Roman" w:hAnsi="Times New Roman"/>
        </w:rPr>
        <w:t xml:space="preserve">программа исполнена на 24,7% в сумме 26,9 тыс. рублей расходы направлены на содержание пожарной сигнализации в здании Администрации поселения 12 тыс. рублей, на противопожарную опашку территории 14,9 тыс. рублей. </w:t>
      </w:r>
    </w:p>
    <w:p w14:paraId="47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4. муниципальная программа  «Информационное общество»,</w:t>
      </w:r>
      <w:r>
        <w:rPr>
          <w:rFonts w:ascii="Times New Roman" w:hAnsi="Times New Roman"/>
        </w:rPr>
        <w:t xml:space="preserve"> программа исполнена на 47,7% в сумме 94,3 тыс. рублей расходы направлены на:  информационные услуги Консультант+, обслуживание официального сайта,  средства защиты информации, программное обеспечение Контур, 1-Сбухгалтерия.</w:t>
      </w:r>
    </w:p>
    <w:p w14:paraId="48000000">
      <w:pPr>
        <w:ind w:firstLine="851" w:left="0"/>
      </w:pPr>
      <w:r>
        <w:rPr>
          <w:b w:val="1"/>
        </w:rPr>
        <w:t>5. муниципальная программа</w:t>
      </w:r>
      <w:r>
        <w:t xml:space="preserve"> «</w:t>
      </w:r>
      <w:r>
        <w:rPr>
          <w:b w:val="1"/>
        </w:rPr>
        <w:t>Охрана окружающей среды и рациональное природопользование»,</w:t>
      </w:r>
      <w:r>
        <w:tab/>
      </w:r>
      <w:r>
        <w:rPr>
          <w:rFonts w:ascii="Times New Roman" w:hAnsi="Times New Roman"/>
        </w:rPr>
        <w:t>программа исполнена на 0,0 % в сумме 0,0 тыс. рублей расходы заключен договор на</w:t>
      </w:r>
      <w:r>
        <w:t xml:space="preserve"> </w:t>
      </w:r>
      <w:r>
        <w:rPr>
          <w:rFonts w:ascii="Times New Roman" w:hAnsi="Times New Roman"/>
        </w:rPr>
        <w:t>комплексные услуги по обращению с ртутьсодержащими отходами</w:t>
      </w:r>
      <w:r>
        <w:t>.</w:t>
      </w:r>
    </w:p>
    <w:p w14:paraId="49000000">
      <w:pPr>
        <w:ind w:firstLine="851" w:left="0"/>
        <w:rPr>
          <w:rFonts w:ascii="Times New Roman" w:hAnsi="Times New Roman"/>
        </w:rPr>
      </w:pPr>
      <w:r>
        <w:rPr>
          <w:b w:val="1"/>
        </w:rPr>
        <w:t>6. Муниципальная программа «Формирование современной городской среды на территории Кринично-Лугского сельского поселения»</w:t>
      </w:r>
      <w:r>
        <w:t xml:space="preserve">, </w:t>
      </w:r>
      <w:r>
        <w:rPr>
          <w:rFonts w:ascii="Times New Roman" w:hAnsi="Times New Roman"/>
        </w:rPr>
        <w:t>программа исполнена на 0,0 % в сумме 0,0 тыс. рублей, расходы будут направлены на реализацию инициативного проекта по объекту: "Благоустройство территории кладбища Кринично-Лугского сельского поселени</w:t>
      </w:r>
      <w:r>
        <w:rPr>
          <w:rFonts w:ascii="Times New Roman" w:hAnsi="Times New Roman"/>
        </w:rPr>
        <w:t>я(</w:t>
      </w:r>
      <w:r>
        <w:rPr>
          <w:rFonts w:ascii="Times New Roman" w:hAnsi="Times New Roman"/>
        </w:rPr>
        <w:t>устройство ограждения), расположенного по адресу: Ростовская область, Куйбышевский район, 1,0км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запад от с. Миллерово".</w:t>
      </w:r>
    </w:p>
    <w:p w14:paraId="4A000000">
      <w:pPr>
        <w:ind w:firstLine="851" w:left="0"/>
        <w:rPr>
          <w:b w:val="1"/>
        </w:rPr>
      </w:pPr>
      <w:r>
        <w:rPr>
          <w:b w:val="1"/>
        </w:rPr>
        <w:t>7. Муниципальная программа «</w:t>
      </w:r>
      <w:r>
        <w:rPr>
          <w:b w:val="1"/>
        </w:rPr>
        <w:t>Энергоэффективность</w:t>
      </w:r>
      <w:r>
        <w:rPr>
          <w:b w:val="1"/>
        </w:rPr>
        <w:t xml:space="preserve"> и развитие энергетики»</w:t>
      </w:r>
      <w:r>
        <w:rPr>
          <w:rFonts w:ascii="Times New Roman" w:hAnsi="Times New Roman"/>
        </w:rPr>
        <w:t xml:space="preserve"> программа исполнена на 0,0 % в сумме 0,0 тыс. рублей расходы будут направлены на замену энергосберегающих ламп.</w:t>
      </w:r>
    </w:p>
    <w:p w14:paraId="4B000000">
      <w:pPr>
        <w:ind w:firstLine="851" w:left="0"/>
        <w:rPr>
          <w:rFonts w:ascii="Times New Roman" w:hAnsi="Times New Roman"/>
        </w:rPr>
      </w:pPr>
      <w:r>
        <w:rPr>
          <w:b w:val="1"/>
        </w:rPr>
        <w:t>8. Муниципальная программа «Развитие физической культуры и спорта»</w:t>
      </w:r>
      <w:r>
        <w:t xml:space="preserve"> </w:t>
      </w:r>
      <w:r>
        <w:rPr>
          <w:rFonts w:ascii="Times New Roman" w:hAnsi="Times New Roman"/>
        </w:rPr>
        <w:t xml:space="preserve"> программа исполнена на 0,0 % в сумме 0,0 тыс. рублей расходы будут направлены на приобретение спортивного инвентаря.</w:t>
      </w:r>
    </w:p>
    <w:p w14:paraId="4C000000">
      <w:pPr>
        <w:ind w:firstLine="851" w:left="0"/>
        <w:rPr>
          <w:rFonts w:ascii="Times New Roman" w:hAnsi="Times New Roman"/>
        </w:rPr>
      </w:pPr>
      <w:r>
        <w:rPr>
          <w:b w:val="1"/>
        </w:rPr>
        <w:t>9. муниципальная программа</w:t>
      </w:r>
      <w:r>
        <w:t xml:space="preserve"> </w:t>
      </w:r>
      <w:r>
        <w:rPr>
          <w:b w:val="1"/>
        </w:rPr>
        <w:t>"Муниципальная политика</w:t>
      </w:r>
      <w:r>
        <w:t>",</w:t>
      </w:r>
      <w:r>
        <w:rPr>
          <w:b w:val="1"/>
        </w:rPr>
        <w:t xml:space="preserve"> </w:t>
      </w:r>
      <w:r>
        <w:t>программа исполнена на 36,2 % в сумме 3 689,7 тыс. рублей:</w:t>
      </w:r>
      <w:r>
        <w:rPr>
          <w:rFonts w:ascii="Times New Roman" w:hAnsi="Times New Roman"/>
        </w:rPr>
        <w:t xml:space="preserve"> </w:t>
      </w:r>
    </w:p>
    <w:p w14:paraId="4D000000">
      <w:pPr>
        <w:ind w:firstLine="851" w:left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расходы направлены </w:t>
      </w:r>
    </w:p>
    <w:p w14:paraId="4E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u w:color="000000" w:val="single"/>
        </w:rPr>
        <w:t>на выплату и начисления на выплаты по оплате труда</w:t>
      </w:r>
      <w:r>
        <w:rPr>
          <w:rFonts w:ascii="Times New Roman" w:hAnsi="Times New Roman"/>
        </w:rPr>
        <w:t xml:space="preserve"> руководства и работников Администрации сельского поселения в сумме 3 231,1 тыс. рублей, план исполнен на 36,7 процентов к годовому плану;</w:t>
      </w:r>
    </w:p>
    <w:p w14:paraId="4F000000">
      <w:pPr>
        <w:ind w:firstLine="851" w:left="0"/>
      </w:pPr>
      <w:r>
        <w:rPr>
          <w:rFonts w:ascii="Times New Roman" w:hAnsi="Times New Roman"/>
          <w:u w:color="000000" w:val="single"/>
        </w:rPr>
        <w:t>расходы на обеспечение функций</w:t>
      </w:r>
      <w:r>
        <w:rPr>
          <w:rFonts w:ascii="Times New Roman" w:hAnsi="Times New Roman"/>
        </w:rPr>
        <w:t xml:space="preserve"> Администрации поселения израсходованы в сумме 435,9 тыс. рублей, план исполнен на 34,9 % к годовым назначениям, из них:  услуги связи 29,6 тыс. рублей, коммунальные услуги 274,0 тыс. рублей; работы и услуги по содержанию имущества – 8,9 тыс. рублей (дератизация, техобслуживание автомобилей, </w:t>
      </w:r>
      <w:r>
        <w:rPr>
          <w:rFonts w:ascii="Times New Roman" w:hAnsi="Times New Roman"/>
        </w:rPr>
        <w:t>шиномантаж</w:t>
      </w:r>
      <w:r>
        <w:rPr>
          <w:rFonts w:ascii="Times New Roman" w:hAnsi="Times New Roman"/>
        </w:rPr>
        <w:t xml:space="preserve">), приобретение ГСМ в сумме 85,3 тыс. рублей, прочие работы в сумме 7,3 тыс. рублей (медосмотр водителей), материальные запасы в сумме </w:t>
      </w:r>
      <w:r>
        <w:rPr>
          <w:rFonts w:ascii="Times New Roman" w:hAnsi="Times New Roman"/>
        </w:rPr>
        <w:t>26,0 тыс. рублей (запас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 xml:space="preserve">асти авто 13,9 тыс. рублей, </w:t>
      </w:r>
      <w:r>
        <w:rPr>
          <w:rFonts w:ascii="Times New Roman" w:hAnsi="Times New Roman"/>
        </w:rPr>
        <w:t>зап.</w:t>
      </w:r>
      <w:r>
        <w:rPr>
          <w:rFonts w:ascii="Times New Roman" w:hAnsi="Times New Roman"/>
        </w:rPr>
        <w:t xml:space="preserve"> части триммера 4,7 тыс. рублей, </w:t>
      </w:r>
      <w:r>
        <w:rPr>
          <w:rFonts w:ascii="Times New Roman" w:hAnsi="Times New Roman"/>
        </w:rPr>
        <w:t>зап.</w:t>
      </w:r>
      <w:r>
        <w:rPr>
          <w:rFonts w:ascii="Times New Roman" w:hAnsi="Times New Roman"/>
        </w:rPr>
        <w:t xml:space="preserve"> части оргтехники 6,6 тыс. рублей), в сумме 4,9 тыс. рублей автострахование </w:t>
      </w:r>
      <w:r>
        <w:rPr>
          <w:rFonts w:ascii="Times New Roman" w:hAnsi="Times New Roman"/>
        </w:rPr>
        <w:t>автемобиля</w:t>
      </w:r>
      <w:r>
        <w:rPr>
          <w:rFonts w:ascii="Times New Roman" w:hAnsi="Times New Roman"/>
        </w:rPr>
        <w:t>.</w:t>
      </w:r>
    </w:p>
    <w:p w14:paraId="50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расходы по диспансеризации</w:t>
      </w:r>
      <w:r>
        <w:rPr>
          <w:rFonts w:ascii="Times New Roman" w:hAnsi="Times New Roman"/>
        </w:rPr>
        <w:t xml:space="preserve"> 7 муниципальных служащих составили в сумме 0,0 тыс. рублей, план исполнен на 0,0 % к годовым назначениям.</w:t>
      </w:r>
    </w:p>
    <w:p w14:paraId="51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  <w:u w:color="000000" w:val="single"/>
        </w:rPr>
        <w:t>расходы по уплате налогов</w:t>
      </w:r>
      <w:r>
        <w:rPr>
          <w:rFonts w:ascii="Times New Roman" w:hAnsi="Times New Roman"/>
        </w:rPr>
        <w:t xml:space="preserve"> (земельного, транспортного) составили в сумме 22,6 тыс. рублей, план исполнен на 20,6%.</w:t>
      </w:r>
    </w:p>
    <w:p w14:paraId="52000000">
      <w:pPr>
        <w:ind w:firstLine="851" w:left="0"/>
        <w:rPr>
          <w:rFonts w:ascii="Times New Roman" w:hAnsi="Times New Roman"/>
        </w:rPr>
      </w:pPr>
      <w:r>
        <w:rPr>
          <w:b w:val="1"/>
        </w:rPr>
        <w:t>10.</w:t>
      </w:r>
      <w:r>
        <w:t xml:space="preserve"> </w:t>
      </w:r>
      <w:r>
        <w:rPr>
          <w:b w:val="1"/>
        </w:rPr>
        <w:t>муниципальная программа</w:t>
      </w:r>
      <w:r>
        <w:t xml:space="preserve"> </w:t>
      </w:r>
      <w:r>
        <w:rPr>
          <w:b w:val="1"/>
        </w:rPr>
        <w:t xml:space="preserve">"Обеспечение общественного порядка и противодействие преступности </w:t>
      </w:r>
      <w:r>
        <w:t>",</w:t>
      </w:r>
      <w:r>
        <w:rPr>
          <w:b w:val="1"/>
        </w:rPr>
        <w:t xml:space="preserve"> </w:t>
      </w:r>
      <w:r>
        <w:t xml:space="preserve">программа исполнена на 0,0% в сумме 0,0 тыс. рублей расходы будут направлены </w:t>
      </w:r>
      <w:r>
        <w:rPr>
          <w:rFonts w:ascii="Times New Roman" w:hAnsi="Times New Roman"/>
        </w:rPr>
        <w:t xml:space="preserve">на приобретение табличек </w:t>
      </w:r>
      <w:r>
        <w:t>антитеррористической защищённости.</w:t>
      </w:r>
    </w:p>
    <w:p w14:paraId="53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Прочие непрограммные расходы:</w:t>
      </w:r>
    </w:p>
    <w:p w14:paraId="54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-расходы на уплату взноса в СМО РО- 20,0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>.р</w:t>
      </w:r>
      <w:r>
        <w:rPr>
          <w:rFonts w:ascii="Times New Roman" w:hAnsi="Times New Roman"/>
        </w:rPr>
        <w:t>ублей</w:t>
      </w:r>
      <w:r>
        <w:rPr>
          <w:rFonts w:ascii="Times New Roman" w:hAnsi="Times New Roman"/>
        </w:rPr>
        <w:t>.</w:t>
      </w:r>
    </w:p>
    <w:p w14:paraId="55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- расходы на приобретение </w:t>
      </w:r>
      <w:r>
        <w:rPr>
          <w:rFonts w:ascii="Times New Roman" w:hAnsi="Times New Roman"/>
        </w:rPr>
        <w:t>канц</w:t>
      </w:r>
      <w:r>
        <w:rPr>
          <w:rFonts w:ascii="Times New Roman" w:hAnsi="Times New Roman"/>
        </w:rPr>
        <w:t>.т</w:t>
      </w:r>
      <w:r>
        <w:rPr>
          <w:rFonts w:ascii="Times New Roman" w:hAnsi="Times New Roman"/>
        </w:rPr>
        <w:t>оваров</w:t>
      </w:r>
      <w:r>
        <w:rPr>
          <w:rFonts w:ascii="Times New Roman" w:hAnsi="Times New Roman"/>
        </w:rPr>
        <w:t xml:space="preserve"> административной комиссии по составлению протаколов-0,2  </w:t>
      </w:r>
      <w:r>
        <w:rPr>
          <w:rFonts w:ascii="Times New Roman" w:hAnsi="Times New Roman"/>
        </w:rPr>
        <w:t>тыс.рублей</w:t>
      </w:r>
      <w:r>
        <w:rPr>
          <w:rFonts w:ascii="Times New Roman" w:hAnsi="Times New Roman"/>
        </w:rPr>
        <w:t>.</w:t>
      </w:r>
    </w:p>
    <w:p w14:paraId="56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 расходы на содержание военно-учетного работника в сумме 130,9 тыс. рублей (выплата заработной платы и начисление по оплате труда).</w:t>
      </w:r>
    </w:p>
    <w:p w14:paraId="57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-расходы по передаче полномочий Администрации поселения Администрации района - иные межбюджетные трансферты передаваемые бюджету Куйбышевского района в сумме 60,8 тыс. рублей внутреннего муниципального финансового контроля.</w:t>
      </w:r>
    </w:p>
    <w:p w14:paraId="58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-расходы оформление имущества в сумме 3,3 тыс. рублей нанесение границ на земельном участке.</w:t>
      </w:r>
    </w:p>
    <w:p w14:paraId="59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-расходы в сумме 23,5 тыс. рублей приобретение венков в целях возложения к памятным местам времен ВОВ.</w:t>
      </w:r>
    </w:p>
    <w:p w14:paraId="5A000000">
      <w:pPr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-расходы в сумме 65,5 тыс. рублей выплата доплаты к государственной пенсии за выслугу лет муниципальному служащему.</w:t>
      </w:r>
    </w:p>
    <w:p w14:paraId="5B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-расходы на Функционирование законодательных (представительных) органов государственной власти и представительных органов муниципальных образований (Собрание депутатов поселения) в сумме 86,6 тыс. рублей, план исполнен на 41,1% (расходы направлены на выплату заработной платы и начислений на заработную плату в сумме 79,6 тыс. рублей, расходы на приобретение программного обеспечения Контур в сумме 7,0 тыс. рублей);</w:t>
      </w:r>
    </w:p>
    <w:p w14:paraId="5C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 Администрация сельского поселения осуществляет свои функции и решает вопросы местного значения за счёт бюджетных сре</w:t>
      </w:r>
      <w:r>
        <w:rPr>
          <w:rFonts w:ascii="Times New Roman" w:hAnsi="Times New Roman"/>
        </w:rPr>
        <w:t>дств в с</w:t>
      </w:r>
      <w:r>
        <w:rPr>
          <w:rFonts w:ascii="Times New Roman" w:hAnsi="Times New Roman"/>
        </w:rPr>
        <w:t>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14:paraId="5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  За 1 полугодие 2024 года заключено 49 договоров на общую сумму 2 621,0 тыс. рублей, в </w:t>
      </w:r>
      <w:r>
        <w:rPr>
          <w:rFonts w:ascii="Times New Roman" w:hAnsi="Times New Roman"/>
        </w:rPr>
        <w:t>т.ч</w:t>
      </w:r>
      <w:r>
        <w:rPr>
          <w:rFonts w:ascii="Times New Roman" w:hAnsi="Times New Roman"/>
        </w:rPr>
        <w:t>.: - коммунальные услуги 5 договоров на сумму 1690,7  тыс. рублей, закупки малого объема 44 договоров на сумму 930,3 тыс. рублей.</w:t>
      </w:r>
    </w:p>
    <w:p w14:paraId="5E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</w:t>
      </w:r>
    </w:p>
    <w:p w14:paraId="6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Санитарное состояние поселения</w:t>
      </w:r>
    </w:p>
    <w:p w14:paraId="61000000">
      <w:pPr>
        <w:ind/>
        <w:jc w:val="center"/>
        <w:rPr>
          <w:rFonts w:ascii="Times New Roman" w:hAnsi="Times New Roman"/>
        </w:rPr>
      </w:pPr>
    </w:p>
    <w:p w14:paraId="62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 половину 2024 года в  населенных пунктах поселения  силами инициативных граждан произведена уборка и наведен порядок общественных территорий, памятников, кладбищ, территорий прилегающих к учреждениям и организациям, </w:t>
      </w:r>
      <w:r>
        <w:rPr>
          <w:rFonts w:ascii="Times New Roman" w:hAnsi="Times New Roman"/>
        </w:rPr>
        <w:t>придворовых</w:t>
      </w:r>
      <w:r>
        <w:rPr>
          <w:rFonts w:ascii="Times New Roman" w:hAnsi="Times New Roman"/>
        </w:rPr>
        <w:t xml:space="preserve"> территорий домовладений, очищена береговая полоса реки средний </w:t>
      </w:r>
      <w:r>
        <w:rPr>
          <w:rFonts w:ascii="Times New Roman" w:hAnsi="Times New Roman"/>
        </w:rPr>
        <w:t>Тузлов</w:t>
      </w:r>
      <w:r>
        <w:rPr>
          <w:rFonts w:ascii="Times New Roman" w:hAnsi="Times New Roman"/>
        </w:rPr>
        <w:t xml:space="preserve">.  Проведено 12 субботников, в которых принимали участие работники администрации и культуры, социальные работники, депутаты Собрания депутатов поселения, сельхозпредприятия,  а также инициативные жители Кринично-Лугского сельского поселения.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. Миллерово при содействии  Бабкиной А.П. регулярно производится </w:t>
      </w:r>
      <w:r>
        <w:rPr>
          <w:rFonts w:ascii="Times New Roman" w:hAnsi="Times New Roman"/>
        </w:rPr>
        <w:t>обкос</w:t>
      </w:r>
      <w:r>
        <w:rPr>
          <w:rFonts w:ascii="Times New Roman" w:hAnsi="Times New Roman"/>
        </w:rPr>
        <w:t xml:space="preserve"> заброшенных  домовладений,   благодаря отзывчивости сельхозпредприятий А.А. </w:t>
      </w:r>
      <w:r>
        <w:rPr>
          <w:rFonts w:ascii="Times New Roman" w:hAnsi="Times New Roman"/>
        </w:rPr>
        <w:t>Форот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Обийко</w:t>
      </w:r>
      <w:r>
        <w:rPr>
          <w:rFonts w:ascii="Times New Roman" w:hAnsi="Times New Roman"/>
        </w:rPr>
        <w:t xml:space="preserve"> В.А., производится </w:t>
      </w:r>
      <w:r>
        <w:rPr>
          <w:rFonts w:ascii="Times New Roman" w:hAnsi="Times New Roman"/>
        </w:rPr>
        <w:t>обкос</w:t>
      </w:r>
      <w:r>
        <w:rPr>
          <w:rFonts w:ascii="Times New Roman" w:hAnsi="Times New Roman"/>
        </w:rPr>
        <w:t xml:space="preserve"> обочин дорог.</w:t>
      </w:r>
    </w:p>
    <w:p w14:paraId="63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К торжественным мероприятиям, посвящённым Дню Победы на всех воинских захоронениях наведен порядок и проведены работы по текущему ремонту.</w:t>
      </w:r>
    </w:p>
    <w:p w14:paraId="64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В апреле проведена противоклещевая обработка территорий  кладбищ, памятников, детских площадок общей площадью 5  га. За истекший период случаев укуса клещами на территориях сельского поселения не зафиксировано.</w:t>
      </w:r>
    </w:p>
    <w:p w14:paraId="65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Ежегодно в весенний период проводится работа по побелке деревьев общественных территорий и ограждения кладбищ. В день древонасаждения высажено 60 саженцев цветов: ирис болотный и нарцисс на общественной территории хутора Новая Надежда.</w:t>
      </w:r>
    </w:p>
    <w:p w14:paraId="66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Произведена уборка и покос травянистой  сорной  растительности на детских площадках, сельских кладбищах, прилегающей территории памятников и других территориях общего пользования. В преддверии празднования православной Пасхи и майских праздников с территории сельских кладбищ вывезено 60 м3 мусора.</w:t>
      </w:r>
    </w:p>
    <w:p w14:paraId="67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Ежедневно производился сбор мусора на общественных территориях. За 1 полугодие 2024 года поступило одно заявление по спилу  аварийного дерева. Проведены рейды по обследованию территорий населенных пунктов на  предмет  несанкционированных свалочных очагов и навалов мусора. Ликвидировано 5 свалочных очагов. В целях </w:t>
      </w:r>
      <w:r>
        <w:rPr>
          <w:rFonts w:ascii="Times New Roman" w:hAnsi="Times New Roman"/>
        </w:rPr>
        <w:t>контроля за</w:t>
      </w:r>
      <w:r>
        <w:rPr>
          <w:rFonts w:ascii="Times New Roman" w:hAnsi="Times New Roman"/>
        </w:rPr>
        <w:t xml:space="preserve"> соблюдением Правил благоустройства и пожарной безопасности должностными лицами Администрации поселения составлено 5 протоколов об административных правонарушениях, совершенных физическими лицами:</w:t>
      </w:r>
    </w:p>
    <w:p w14:paraId="68000000">
      <w:p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по ч.1 ст.5.1 Областного закона №273-ЗС от 25.10.2002г (нарушение правил благоустройства).</w:t>
      </w:r>
    </w:p>
    <w:p w14:paraId="69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Вручено 24 предупреждения.</w:t>
      </w:r>
    </w:p>
    <w:p w14:paraId="6A000000">
      <w:pPr>
        <w:rPr>
          <w:rFonts w:ascii="Times New Roman" w:hAnsi="Times New Roman"/>
          <w:sz w:val="24"/>
        </w:rPr>
      </w:pPr>
    </w:p>
    <w:p w14:paraId="6B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Землеустройство и землепользование</w:t>
      </w:r>
    </w:p>
    <w:p w14:paraId="6C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6D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Выдано 26 уведомление собственникам земельных участков об отказе от покупки продаваемого земельного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участка.</w:t>
      </w:r>
    </w:p>
    <w:p w14:paraId="6E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Организация в проведении своевременной запланированной ветеринарной   обработки (прививки и вакцинации домашних животных).</w:t>
      </w:r>
    </w:p>
    <w:p w14:paraId="6F000000">
      <w:pPr>
        <w:ind w:firstLine="70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Проведение работы по выявлению и внесению в Единый государственный реестр недвижимости сведений  о правообладателях  ранее учтенных объектов недвижимости. В результате проведенных мероприятий, выявлены 1 земельных участков без права собственности. Внесены сведения недостающих характеристик по 14 объектам.  Составлено 21 актов </w:t>
      </w:r>
      <w:r>
        <w:rPr>
          <w:rFonts w:ascii="Times New Roman" w:hAnsi="Times New Roman"/>
        </w:rPr>
        <w:t>списания</w:t>
      </w:r>
      <w:r>
        <w:rPr>
          <w:rFonts w:ascii="Times New Roman" w:hAnsi="Times New Roman"/>
        </w:rPr>
        <w:t xml:space="preserve"> полностью разрушенных жилых и нежилых помещений, информация направлена в администрацию Куйбышевского района.</w:t>
      </w:r>
    </w:p>
    <w:p w14:paraId="70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Продолжена работа по сдаче в аренду муниципального имущества муниципальной собственности.  В 2023 году заключено:</w:t>
      </w:r>
    </w:p>
    <w:p w14:paraId="71000000">
      <w:pPr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- 6 договора аренды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муниципального имущества, находящегося в оперативном управлении Администрации в </w:t>
      </w:r>
      <w:r>
        <w:rPr>
          <w:rFonts w:ascii="Times New Roman" w:hAnsi="Times New Roman"/>
        </w:rPr>
        <w:t>Кринично-Лугском</w:t>
      </w:r>
      <w:r>
        <w:rPr>
          <w:rFonts w:ascii="Times New Roman" w:hAnsi="Times New Roman"/>
        </w:rPr>
        <w:t xml:space="preserve"> сельском поселении: заключенных с Таганрогским отделением ОАО «Сбербанк России» № 5221, с Ростовским филиалом ОАО «Ростелеком», </w:t>
      </w:r>
      <w:r>
        <w:t xml:space="preserve">ООО «Интернет Решения», </w:t>
      </w:r>
      <w:r>
        <w:rPr>
          <w:rFonts w:ascii="Times New Roman" w:hAnsi="Times New Roman"/>
        </w:rPr>
        <w:t>с ИП Харченко О.Г.</w:t>
      </w:r>
    </w:p>
    <w:p w14:paraId="72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-2 договора аренды имущества, находящегося в казне муниципального образования «</w:t>
      </w:r>
      <w:r>
        <w:rPr>
          <w:rFonts w:ascii="Times New Roman" w:hAnsi="Times New Roman"/>
        </w:rPr>
        <w:t>Кринично-Лугское</w:t>
      </w:r>
      <w:r>
        <w:rPr>
          <w:rFonts w:ascii="Times New Roman" w:hAnsi="Times New Roman"/>
        </w:rPr>
        <w:t xml:space="preserve"> сельское поселение»: заключенных с Рожковым Н.В.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автоцистерны, используемая по подвозу воды населению), с ИП Бабкиной А.П. (полуприцеп электростанция АД),</w:t>
      </w:r>
    </w:p>
    <w:p w14:paraId="73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договор аренды земельного участка, находящегося в собственности муниципального образования «</w:t>
      </w:r>
      <w:r>
        <w:rPr>
          <w:rFonts w:ascii="Times New Roman" w:hAnsi="Times New Roman"/>
        </w:rPr>
        <w:t>Кринично-Лугское</w:t>
      </w:r>
      <w:r>
        <w:rPr>
          <w:rFonts w:ascii="Times New Roman" w:hAnsi="Times New Roman"/>
        </w:rPr>
        <w:t xml:space="preserve"> сельское поселение», заключенного с ИП «Главой КФХ </w:t>
      </w:r>
      <w:r>
        <w:rPr>
          <w:rFonts w:ascii="Times New Roman" w:hAnsi="Times New Roman"/>
        </w:rPr>
        <w:t>Шленчак</w:t>
      </w:r>
      <w:r>
        <w:rPr>
          <w:rFonts w:ascii="Times New Roman" w:hAnsi="Times New Roman"/>
        </w:rPr>
        <w:t xml:space="preserve"> А.А.»</w:t>
      </w:r>
    </w:p>
    <w:p w14:paraId="74000000">
      <w:pPr>
        <w:spacing w:after="120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 </w:t>
      </w:r>
    </w:p>
    <w:p w14:paraId="75000000">
      <w:pPr>
        <w:spacing w:after="120"/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Мероприятия по вопросам ЧС и ПБ</w:t>
      </w:r>
    </w:p>
    <w:p w14:paraId="7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    </w:t>
      </w:r>
    </w:p>
    <w:p w14:paraId="7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     </w:t>
      </w:r>
      <w:r>
        <w:rPr>
          <w:rFonts w:ascii="Times New Roman" w:hAnsi="Times New Roman"/>
        </w:rPr>
        <w:t xml:space="preserve">В целях недопущения пожаров (в </w:t>
      </w:r>
      <w:r>
        <w:rPr>
          <w:rFonts w:ascii="Times New Roman" w:hAnsi="Times New Roman"/>
        </w:rPr>
        <w:t>т.ч</w:t>
      </w:r>
      <w:r>
        <w:rPr>
          <w:rFonts w:ascii="Times New Roman" w:hAnsi="Times New Roman"/>
        </w:rPr>
        <w:t>. ландшафтных) на территории поселения постоянно ведется противопожарная пропаганда – в личных беседах, в ежемесячном информационном бюллетене Кринично-Лугского, на официальном сайте Администрации поселения в памятках, объявлениях, радиогазетах, в школах напоминаются требования ПБ,  запрет на выжигание сухой растительности и мерах ответственности,  номера телефонов по которым звонить в случае пожара.</w:t>
      </w:r>
    </w:p>
    <w:p w14:paraId="7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Проведены тренировки по ликвидации ЧС на территории поселения и оповещению населения.</w:t>
      </w:r>
    </w:p>
    <w:p w14:paraId="7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  </w:t>
      </w:r>
      <w:r>
        <w:rPr>
          <w:rFonts w:ascii="Times New Roman" w:hAnsi="Times New Roman"/>
        </w:rPr>
        <w:t>Прошли заседания КЧС и ПБ поселения по вопросам ПБ в весенне-летний пожароопасные периоды, безопасности на воде.</w:t>
      </w:r>
    </w:p>
    <w:p w14:paraId="7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  Существующие источники противопожарного водоснабжения и подъезды к ним содержатся в надлежащем состоянии. </w:t>
      </w:r>
    </w:p>
    <w:p w14:paraId="7B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Учтены семьи, находящиеся в социально опасном положении (6 семей). </w:t>
      </w:r>
      <w:r>
        <w:rPr>
          <w:rFonts w:ascii="Times New Roman" w:hAnsi="Times New Roman"/>
        </w:rPr>
        <w:t xml:space="preserve">Специалистами Администрации поселения проведены комиссионные посещения  данных семей, с которыми проведены разъяснительные беседы о родительской ответственности за детей, с рекомендацией о строгом запрете появления несовершеннолетних на водных объектах и заброшенных усадьбах поселения без сопровождения взрослых, с вручением памяток по пожарной </w:t>
      </w:r>
      <w:r>
        <w:rPr>
          <w:rFonts w:ascii="Times New Roman" w:hAnsi="Times New Roman"/>
        </w:rPr>
        <w:t>безопасности, о вреде наркотиков, правилах безопасного поведения на воде (льду).</w:t>
      </w:r>
    </w:p>
    <w:p w14:paraId="7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Ведется профилактическая работа по предупреждению террористических и экстремистских проявлений на территории поселения, укреплению межнационального согласия, повышению бдительности.</w:t>
      </w:r>
    </w:p>
    <w:p w14:paraId="7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Работает народная  дружина Кринично-Лугского сельского поселения.</w:t>
      </w:r>
    </w:p>
    <w:p w14:paraId="7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Проводятся профилактические антинаркотические мероприятия (рейды по определению и уничтожению очагов дикорастущей конопли, информация в СМИ, распространение памяток).</w:t>
      </w:r>
    </w:p>
    <w:p w14:paraId="7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8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                                                   </w:t>
      </w:r>
      <w:r>
        <w:rPr>
          <w:rFonts w:ascii="Times New Roman" w:hAnsi="Times New Roman"/>
          <w:b w:val="1"/>
          <w:u w:color="000000" w:val="single"/>
        </w:rPr>
        <w:t>Военно</w:t>
      </w:r>
      <w:r>
        <w:rPr>
          <w:rFonts w:ascii="Times New Roman" w:hAnsi="Times New Roman"/>
          <w:b w:val="1"/>
          <w:u w:color="000000" w:val="single"/>
        </w:rPr>
        <w:t xml:space="preserve"> – Учетный стол</w:t>
      </w:r>
    </w:p>
    <w:p w14:paraId="8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82000000">
      <w:pPr>
        <w:ind w:firstLine="850" w:left="0" w:right="7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По итогам 1 полугодия 2024 года всего на первичном воинском учете состоят 825 </w:t>
      </w:r>
      <w:r>
        <w:rPr>
          <w:rFonts w:ascii="Times New Roman" w:hAnsi="Times New Roman"/>
          <w:u w:color="000000" w:val="single"/>
        </w:rPr>
        <w:t>граждан</w:t>
      </w:r>
      <w:r>
        <w:rPr>
          <w:rFonts w:ascii="Times New Roman" w:hAnsi="Times New Roman"/>
        </w:rPr>
        <w:t>, в том числе:</w:t>
      </w:r>
    </w:p>
    <w:p w14:paraId="83000000">
      <w:pPr>
        <w:spacing w:after="134" w:before="134"/>
        <w:ind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60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 гражданин, подлежащих призыву на военную службу </w:t>
      </w:r>
      <w:r>
        <w:rPr>
          <w:rFonts w:ascii="Times New Roman" w:hAnsi="Times New Roman"/>
          <w:u w:color="000000" w:val="single"/>
        </w:rPr>
        <w:t>(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по сравнению с 2023 годом увеличилось на 5 человек);</w:t>
      </w:r>
    </w:p>
    <w:p w14:paraId="84000000">
      <w:pPr>
        <w:spacing w:after="134" w:before="134"/>
        <w:ind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офицеров запаса (в сравнении с 2023 годом количество не изменилось);</w:t>
      </w:r>
    </w:p>
    <w:p w14:paraId="85000000">
      <w:pPr>
        <w:spacing w:after="134" w:before="134"/>
        <w:ind w:right="72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717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прапорщиков, мичманов, сержантов, старшин, солдат и матросов запаса </w:t>
      </w:r>
      <w:r>
        <w:rPr>
          <w:rFonts w:ascii="Times New Roman" w:hAnsi="Times New Roman"/>
          <w:u w:color="000000" w:val="single"/>
        </w:rPr>
        <w:t xml:space="preserve">(в сравнении с 2023 годом </w:t>
      </w:r>
      <w:r>
        <w:rPr>
          <w:rFonts w:ascii="Times New Roman" w:hAnsi="Times New Roman"/>
          <w:u w:color="000000" w:val="single"/>
        </w:rPr>
        <w:t>увеличелось</w:t>
      </w:r>
      <w:r>
        <w:rPr>
          <w:rFonts w:ascii="Times New Roman" w:hAnsi="Times New Roman"/>
          <w:u w:color="000000" w:val="single"/>
        </w:rPr>
        <w:t xml:space="preserve"> </w:t>
      </w:r>
      <w:r>
        <w:rPr>
          <w:rFonts w:ascii="Times New Roman" w:hAnsi="Times New Roman"/>
        </w:rPr>
        <w:t>на 3 человека).</w:t>
      </w:r>
    </w:p>
    <w:p w14:paraId="86000000">
      <w:pPr>
        <w:spacing w:after="134" w:before="134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Прибыло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  -_56 человек.</w:t>
      </w:r>
    </w:p>
    <w:p w14:paraId="87000000">
      <w:pPr>
        <w:spacing w:after="134" w:before="134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Убыло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– 52  человек.</w:t>
      </w:r>
    </w:p>
    <w:p w14:paraId="88000000">
      <w:pPr>
        <w:spacing w:after="134" w:before="134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 ряды ВС РФ будет отправлено 7 человек.</w:t>
      </w:r>
    </w:p>
    <w:p w14:paraId="89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Проведена постановка на первичный воинский учет юношей 2007 года рождения, а также граждан призывного возраста ранее не состоящих на воинском учете.</w:t>
      </w:r>
    </w:p>
    <w:p w14:paraId="8A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протяжении года велась работа с гражданами, состоящих на в\у, по внесению изменений в учетные карточки и военные билеты. </w:t>
      </w:r>
    </w:p>
    <w:p w14:paraId="8B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1 полугодии 2024 года проведена согласно плана  </w:t>
      </w:r>
      <w:r>
        <w:rPr>
          <w:rFonts w:ascii="Times New Roman" w:hAnsi="Times New Roman"/>
          <w:u w:color="000000" w:val="single"/>
        </w:rPr>
        <w:t>сверка</w:t>
      </w:r>
      <w:r>
        <w:rPr>
          <w:rFonts w:ascii="Times New Roman" w:hAnsi="Times New Roman"/>
        </w:rPr>
        <w:t xml:space="preserve"> документов первичного воинского учета и бронирования в 23 организациях (учреждениями)</w:t>
      </w:r>
      <w:r>
        <w:rPr>
          <w:rFonts w:ascii="Times New Roman" w:hAnsi="Times New Roman"/>
        </w:rPr>
        <w:t>,н</w:t>
      </w:r>
      <w:r>
        <w:rPr>
          <w:rFonts w:ascii="Times New Roman" w:hAnsi="Times New Roman"/>
        </w:rPr>
        <w:t xml:space="preserve">аходящиеся на территории  поселения, с 7 организациями проведена </w:t>
      </w:r>
      <w:r>
        <w:rPr>
          <w:rFonts w:ascii="Times New Roman" w:hAnsi="Times New Roman"/>
          <w:u w:color="000000" w:val="single"/>
        </w:rPr>
        <w:t>проверка</w:t>
      </w:r>
      <w:r>
        <w:rPr>
          <w:rFonts w:ascii="Times New Roman" w:hAnsi="Times New Roman"/>
        </w:rPr>
        <w:t xml:space="preserve"> ведения воинского учета .</w:t>
      </w:r>
    </w:p>
    <w:p w14:paraId="8C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Проведена сверка и проверка первичного учета с картотекой ВК </w:t>
      </w:r>
      <w:r>
        <w:rPr>
          <w:rFonts w:ascii="Times New Roman" w:hAnsi="Times New Roman"/>
        </w:rPr>
        <w:t>Матвеево-Курганского</w:t>
      </w:r>
      <w:r>
        <w:rPr>
          <w:rFonts w:ascii="Times New Roman" w:hAnsi="Times New Roman"/>
        </w:rPr>
        <w:t xml:space="preserve"> района.</w:t>
      </w:r>
    </w:p>
    <w:p w14:paraId="8D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протяжении года велась работа с гражданами, которые обращались письменно или через сайт в Администрацию Кринично-Лугского сельского поселения по вопросам поиска родственников, воевавших или погибших на территории поселения во время Великой Отечественной войны. Осуществлялась работа по установлению имен и судеб в дополнение к сведениям, содержащимся в ГИС «Память народа».</w:t>
      </w:r>
    </w:p>
    <w:p w14:paraId="8E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Для прохождения военной службы по частичной мобилизации в Вооруженные силы Российской Федерации на территории Кринично-Лугского сельского поселения мобилизовано 15 человек.</w:t>
      </w:r>
    </w:p>
    <w:p w14:paraId="8F000000">
      <w:pPr>
        <w:spacing w:after="134" w:before="134"/>
        <w:ind w:firstLine="708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Проводится работа с гражданами по отбору на военную службу по контракту.</w:t>
      </w:r>
    </w:p>
    <w:p w14:paraId="9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9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u w:color="000000" w:val="single"/>
        </w:rPr>
        <w:t>Культура и спорт</w:t>
      </w:r>
    </w:p>
    <w:p w14:paraId="92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93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Кринично-Лугском</w:t>
      </w:r>
      <w:r>
        <w:rPr>
          <w:rFonts w:ascii="Times New Roman" w:hAnsi="Times New Roman"/>
        </w:rPr>
        <w:t xml:space="preserve"> сельском поселении имеется подведомственное Муниципальное Учреждение Культуры Централизованная Клубная Система в </w:t>
      </w:r>
      <w:r>
        <w:rPr>
          <w:rFonts w:ascii="Times New Roman" w:hAnsi="Times New Roman"/>
        </w:rPr>
        <w:t>подчинении</w:t>
      </w:r>
      <w:r>
        <w:rPr>
          <w:rFonts w:ascii="Times New Roman" w:hAnsi="Times New Roman"/>
        </w:rPr>
        <w:t xml:space="preserve"> которого имеется 8 филиалов: 7 Сельских Клубов и 1 Сельский Дом Культуры. Штатная численность учреждения составляет 20,20 штатных единиц, среднесписочная численность 13,2 штатных единицы. 26 человек оказывают услуги по организации досуга населения.</w:t>
      </w:r>
    </w:p>
    <w:p w14:paraId="94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Доходы учреждения составили  – всего 6 634,2 тыс. рублей</w:t>
      </w:r>
    </w:p>
    <w:p w14:paraId="9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в том числе:</w:t>
      </w:r>
    </w:p>
    <w:p w14:paraId="9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-доходы от возмещения коммунальных услуг – 201,2 тыс. рублей</w:t>
      </w:r>
    </w:p>
    <w:p w14:paraId="9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-доходы от оказания платных услуг  – 24,0 тыс. рублей</w:t>
      </w:r>
    </w:p>
    <w:p w14:paraId="9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-субсидии на выполнение муниципального задания  – 6 409,0 тыс. рублей</w:t>
      </w:r>
    </w:p>
    <w:p w14:paraId="9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Расходы – всего</w:t>
      </w:r>
    </w:p>
    <w:p w14:paraId="9A000000">
      <w:pPr>
        <w:rPr>
          <w:rFonts w:ascii="Times New Roman" w:hAnsi="Times New Roman"/>
          <w:sz w:val="24"/>
          <w:shd w:fill="FFE779" w:val="clear"/>
        </w:rPr>
      </w:pPr>
      <w:r>
        <w:rPr>
          <w:rFonts w:ascii="Times New Roman" w:hAnsi="Times New Roman"/>
          <w:b w:val="1"/>
        </w:rPr>
        <w:t> – бюджетные средства 6 409,0 тыс. рублей</w:t>
      </w:r>
    </w:p>
    <w:p w14:paraId="9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в том числе:</w:t>
      </w:r>
    </w:p>
    <w:p w14:paraId="9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-заработная плата и начисления -3 969,2 тыс. рублей</w:t>
      </w:r>
    </w:p>
    <w:p w14:paraId="9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-услуги связи –25,8 тыс. рублей</w:t>
      </w:r>
    </w:p>
    <w:p w14:paraId="9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-коммунальные услуги– 2 236,2 тыс. рублей</w:t>
      </w:r>
    </w:p>
    <w:p w14:paraId="9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-котельное и печное отопление – 0,0 тыс. рублей</w:t>
      </w:r>
    </w:p>
    <w:p w14:paraId="A0000000">
      <w:pPr>
        <w:rPr>
          <w:rFonts w:ascii="Times New Roman" w:hAnsi="Times New Roman"/>
        </w:rPr>
      </w:pPr>
      <w:r>
        <w:rPr>
          <w:rFonts w:ascii="Times New Roman" w:hAnsi="Times New Roman"/>
        </w:rPr>
        <w:t>-ГСМ -0,0 тыс. рублей</w:t>
      </w:r>
    </w:p>
    <w:p w14:paraId="A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-оплата налогов – 70,5 тыс. рублей</w:t>
      </w:r>
    </w:p>
    <w:p w14:paraId="A2000000">
      <w:pPr>
        <w:rPr>
          <w:rFonts w:ascii="Times New Roman" w:hAnsi="Times New Roman"/>
        </w:rPr>
      </w:pPr>
      <w:r>
        <w:rPr>
          <w:rFonts w:ascii="Times New Roman" w:hAnsi="Times New Roman"/>
        </w:rPr>
        <w:t>-услуги по содержанию имущества в сумме 61,2 тыс. рублей (дератизация, содержание пожарной сигнализации, обслуживание газового оборудования)</w:t>
      </w:r>
    </w:p>
    <w:p w14:paraId="A3000000">
      <w:pPr>
        <w:rPr>
          <w:rFonts w:ascii="Times New Roman" w:hAnsi="Times New Roman"/>
        </w:rPr>
      </w:pPr>
      <w:r>
        <w:rPr>
          <w:rFonts w:ascii="Times New Roman" w:hAnsi="Times New Roman"/>
        </w:rPr>
        <w:t>-прочие работы в сумме 50,0 тыс. рубле</w:t>
      </w:r>
      <w:r>
        <w:rPr>
          <w:rFonts w:ascii="Times New Roman" w:hAnsi="Times New Roman"/>
        </w:rPr>
        <w:t>й(</w:t>
      </w:r>
      <w:r>
        <w:rPr>
          <w:rFonts w:ascii="Times New Roman" w:hAnsi="Times New Roman"/>
        </w:rPr>
        <w:t>медицинский пред рейсовый и после рейсовый медосмотр водителя, тревожная кнопка);</w:t>
      </w:r>
    </w:p>
    <w:p w14:paraId="A4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- внебюджетные средства 225,2 тыс. рублей</w:t>
      </w:r>
    </w:p>
    <w:p w14:paraId="A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-ГСМ -51,3 тыс. рублей </w:t>
      </w:r>
    </w:p>
    <w:p w14:paraId="A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-прочие расходы– 31,3 тыс. рублей (содержание сайта, тех поддержка)</w:t>
      </w:r>
    </w:p>
    <w:p w14:paraId="A7000000">
      <w:pPr>
        <w:rPr>
          <w:rFonts w:ascii="Times New Roman" w:hAnsi="Times New Roman"/>
        </w:rPr>
      </w:pPr>
      <w:r>
        <w:rPr>
          <w:rFonts w:ascii="Times New Roman" w:hAnsi="Times New Roman"/>
        </w:rPr>
        <w:t>-материальные затраты 20,2 тыс. рублей (</w:t>
      </w:r>
      <w:r>
        <w:rPr>
          <w:rFonts w:ascii="Times New Roman" w:hAnsi="Times New Roman"/>
        </w:rPr>
        <w:t>хозтовары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зап.</w:t>
      </w:r>
      <w:r>
        <w:rPr>
          <w:rFonts w:ascii="Times New Roman" w:hAnsi="Times New Roman"/>
        </w:rPr>
        <w:t xml:space="preserve"> части авто)</w:t>
      </w:r>
    </w:p>
    <w:p w14:paraId="A8000000">
      <w:pPr>
        <w:rPr>
          <w:rFonts w:ascii="Times New Roman" w:hAnsi="Times New Roman"/>
          <w:shd w:fill="FFE779" w:val="clear"/>
        </w:rPr>
      </w:pPr>
    </w:p>
    <w:p w14:paraId="A9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Муниципальном учреждении культуры «Централизованная клубная система Кринично-Лугского сельского поселения Куйбышевского района Ростовской области» на</w:t>
      </w:r>
      <w:r>
        <w:rPr>
          <w:rFonts w:ascii="Times New Roman" w:hAnsi="Times New Roman"/>
        </w:rPr>
        <w:t xml:space="preserve"> 01.07.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действуют коллективы самодеятельного творчества, любительские объединения и клубы по интересам – 26 коллективов, участников в них - 274 человека.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Творческие коллективы МУК ЦКС К-ЛСП принимают активное участие во всех проводимых учреждениями культуры мероприятиях, в фестивалях и конкурсах районного и межрайонного уровней.</w:t>
      </w:r>
    </w:p>
    <w:p w14:paraId="AA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МУК</w:t>
      </w:r>
      <w:r>
        <w:rPr>
          <w:rFonts w:ascii="Times New Roman" w:hAnsi="Times New Roman"/>
        </w:rPr>
        <w:t xml:space="preserve"> ЦКС К-ЛСП за первое полугодие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было проведено </w:t>
      </w:r>
      <w:r>
        <w:rPr>
          <w:rFonts w:ascii="Times New Roman" w:hAnsi="Times New Roman"/>
        </w:rPr>
        <w:t xml:space="preserve">307 культурно-досуговых мероприятия различной тематики и направленности, которые посетило 31266 человек. Это мероприятия по профилактике </w:t>
      </w:r>
      <w:r>
        <w:rPr>
          <w:rFonts w:ascii="Times New Roman" w:hAnsi="Times New Roman"/>
        </w:rPr>
        <w:t>асоциальных явлений (пропаганда здорового образа жизни, повышение антинаркотической ориентации и т.д.); по патриотическому воспитанию населения; по популяризации семьи, семейных ценностей и традиций; мероприятия нравственно-эстетической направленности; по сохранению народной культуры и многие другие.  Формы мероприятий различные: тематические концерты и вечера отдыха, концертные программы, игровые и развлекательные программы, викторины турниры по бильярду, информационные часы, митинги, выставки декоративно-прикладного творчества и т.д. Фотоотчет этих мероприятий можно найти на сайте «Централизованная клубная система Кринично-Лугского сельского поселения Куйбышевского района Ростовской области, перейдя по ссылке http://cks-lugskaya.rnd.muzkult.ru/gallery. Из них 76 мероприятий было проведено для детей до 14 лет (их посетило 1976 человек), 12 мероприятий для молодежи от 14 до 35 лет (их посетило 306 человек), в том числе были проведены мероприятия по программе «Пушкинская карта» для возрастной категории с 14 до 22 лет. Некоторые мероприятия были проведены в дистанционном формате и выставлены на сайты «Одноклассники» учреждений культуры. Таких мероприятий было проведено 9, их просмотрели 2193 человека. Так же ведется работа по поддержке участников специальной военной операции. В течение года проводятся акции в поддержку СВО, которые так же можно найти на сайтах «Одноклассники».</w:t>
      </w:r>
      <w:r>
        <w:rPr>
          <w:rFonts w:ascii="Times New Roman" w:hAnsi="Times New Roman"/>
        </w:rPr>
        <w:t xml:space="preserve">    Работа клубных учреждений по развитию традиционных ремесел, формированию навыков декоративно-прикладного творчества, изобразительного искусства и </w:t>
      </w:r>
      <w:r>
        <w:rPr>
          <w:rFonts w:ascii="Times New Roman" w:hAnsi="Times New Roman"/>
        </w:rPr>
        <w:t>фотоискусства</w:t>
      </w:r>
      <w:r>
        <w:rPr>
          <w:rFonts w:ascii="Times New Roman" w:hAnsi="Times New Roman"/>
        </w:rPr>
        <w:t>:в</w:t>
      </w:r>
      <w:r>
        <w:rPr>
          <w:rFonts w:ascii="Times New Roman" w:hAnsi="Times New Roman"/>
        </w:rPr>
        <w:t xml:space="preserve"> 2023 году осуществляли свою деятельность 4 кружка ДПТ, 40 человек участников.</w:t>
      </w:r>
    </w:p>
    <w:p w14:paraId="AB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муниципальном учреждении </w:t>
      </w:r>
      <w:r>
        <w:rPr>
          <w:rFonts w:ascii="Times New Roman" w:hAnsi="Times New Roman"/>
        </w:rPr>
        <w:t>созданы</w:t>
      </w:r>
      <w:r>
        <w:rPr>
          <w:rFonts w:ascii="Times New Roman" w:hAnsi="Times New Roman"/>
        </w:rPr>
        <w:t xml:space="preserve"> 11 культурно - досуговых формирований для детей, количество участников 119 человек. Детские творческие коллективы МУК ЦКС К-ЛСП принимают активное участие во всех проводимых учреждениями культуры мероприятиях, в фестивалях и конкурсах районного уровня.</w:t>
      </w:r>
    </w:p>
    <w:p w14:paraId="A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Детские тематические, игровые  утренники, театрализованные праздники, викторины, развлекательные программы для детей до 14 лет проводятся во всех учреждениях культуры МУК ЦКС К-ЛСП с частотой  1-2 мероприятия в месяц.  В 2023 году было организовано и проведено 125 мероприятий, посетителей на них – 3260 человек.</w:t>
      </w:r>
    </w:p>
    <w:p w14:paraId="AD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направлению  работа с молодежью от 15 до 35 лет. Для этой категории населения в учреждении проведено 21 культурно-досуговое мероприятие. Их посетили 561человек.</w:t>
      </w:r>
    </w:p>
    <w:p w14:paraId="A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марте 2023 года в  учреждении культуры был подключен модуль «Пушкинская карта». С помощью него происходит активное привлечение детей и молодежи в возрасте с 14 до 22 лет к изучению художественной культуры и искусства, мотивацию к освоению ценностей отечественной, </w:t>
      </w:r>
      <w:r>
        <w:rPr>
          <w:rFonts w:ascii="Times New Roman" w:hAnsi="Times New Roman"/>
        </w:rPr>
        <w:t>российской и мировой культуры, повышение культурного уровня подрастающего поколения, развитию патриотизма.</w:t>
      </w:r>
    </w:p>
    <w:p w14:paraId="AF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Ежегодно, в летний период,  для детей до 14 лет проводятся спортивные эстафеты, игровые программы, викторины, утренники, уроки мужества. Всего таких мероприятий прошло 42, их посетило 920 человек.</w:t>
      </w:r>
    </w:p>
    <w:p w14:paraId="B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декады инвалидов, с целью гуманного и доброжелательного отношения, сопереживания, помощи и поддержки людей с ограниченными возможностями, проведено 12 мероприятий, их посетили 1414 человек, это концерты и концертные программы ко Дню инвалида, информационные часы, выставка рисунков ко Дню инвалида «От сердца к сердцу», турнир по бильярду, посвященный декаде инвалидов. </w:t>
      </w:r>
    </w:p>
    <w:p w14:paraId="B1000000">
      <w:pPr>
        <w:rPr>
          <w:rFonts w:ascii="Times New Roman" w:hAnsi="Times New Roman"/>
        </w:rPr>
      </w:pPr>
      <w:r>
        <w:rPr>
          <w:rFonts w:ascii="Times New Roman" w:hAnsi="Times New Roman"/>
        </w:rPr>
        <w:t>В рамках мероприятия по популяризации  семьи, семейных ценностей и традиций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роводились разные мероприятия: выставки мастеров-любителей декоративно-прикладного творчества, информационные часы, турниры по бильярду, тематические программы и концерты. Было проведено  20  культурно-досуговых мероприятия,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 посетили 1371 человек. Мероприятия  посвящены Дню семьи любви и верности, Международному дню семьи.</w:t>
      </w:r>
    </w:p>
    <w:p w14:paraId="B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мер социальной поддержки участников СВО и их семей еженедельно в социальных сетях «Одноклассники»  публикуются онлайн акции. В преддверии государственных и календарных праздников публикуются видеоролики с поздравлениями участников СВО и их семей. Члены семьи участника СВО привлекаются  к участию в концертах и концертных программах. </w:t>
      </w:r>
    </w:p>
    <w:p w14:paraId="B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Таким образом, учреждения культуры МУК ЦКС К-ЛСП ведут активную работу с разными слоями населения, разной возрастной категорией и по всем направлениям.</w:t>
      </w:r>
      <w:bookmarkStart w:id="1" w:name="_GoBack"/>
      <w:bookmarkEnd w:id="1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B4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Оценивая итоги работы 1 полугодия 2024 года по сравнению с  аналогичным периодом 2023 года, можно сделать следующий вывод:</w:t>
      </w:r>
    </w:p>
    <w:p w14:paraId="B5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B6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Количество  обратившихся в Администрацию граждан  с заявлениями  в  2024 г. сократилось в 4 раза.  Количество совершенных нотариально действий сократилось на 33 процента. Число переданной информации в текущем отчетном периоде на прежнем уровне, число выданных выписок и справок в 2 раза.</w:t>
      </w:r>
    </w:p>
    <w:p w14:paraId="B7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Число составленных протоколов за нарушение  правил  благоустройства </w:t>
      </w:r>
      <w:r>
        <w:rPr>
          <w:rFonts w:ascii="Times New Roman" w:hAnsi="Times New Roman"/>
        </w:rPr>
        <w:t>Кринично-Кугского</w:t>
      </w:r>
      <w:r>
        <w:rPr>
          <w:rFonts w:ascii="Times New Roman" w:hAnsi="Times New Roman"/>
        </w:rPr>
        <w:t>  сельского поселения  сотрудниками  Администрации  сократилось на 2 протокола.</w:t>
      </w:r>
    </w:p>
    <w:p w14:paraId="B8000000">
      <w:pPr>
        <w:spacing w:after="200"/>
        <w:ind w:firstLine="85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 В Администрации Кринично-Лугского сельского поселения имеется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олл</w:t>
      </w:r>
      <w:r>
        <w:rPr>
          <w:rFonts w:ascii="Times New Roman" w:hAnsi="Times New Roman"/>
        </w:rPr>
        <w:t>-центр.</w:t>
      </w:r>
    </w:p>
    <w:p w14:paraId="B9000000">
      <w:pPr>
        <w:spacing w:after="20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Время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</w:rPr>
        <w:t>:с</w:t>
      </w:r>
      <w:r>
        <w:rPr>
          <w:rFonts w:ascii="Times New Roman" w:hAnsi="Times New Roman"/>
        </w:rPr>
        <w:t xml:space="preserve"> 06.02.2023 по 13.02.2023 с 8.00 до 16.00 (12.00-13.00 – перерыв). Суббота – воскресенье – выходные. Контактный телефон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/>
        </w:rPr>
        <w:t xml:space="preserve"> 8(86348) 35-4-89. Электронная почта: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FF"/>
          <w:u w:color="000000" w:val="single"/>
        </w:rPr>
        <w:t>admkrlsp2006@mail.ru</w:t>
      </w:r>
      <w:r>
        <w:rPr>
          <w:rFonts w:ascii="Times New Roman" w:hAnsi="Times New Roman"/>
        </w:rPr>
        <w:t>;</w:t>
      </w:r>
    </w:p>
    <w:p w14:paraId="BA00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-ящик для сбора предложений, расположен в представительстве Администрации Кринично-Лугского сельского поселения,  по адресу; </w:t>
      </w:r>
    </w:p>
    <w:p w14:paraId="BB00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х. Новая Надежда, улица Советская, 3. Телефон  8(86348)34-2-42.   </w:t>
      </w:r>
    </w:p>
    <w:p w14:paraId="BC000000">
      <w:pPr>
        <w:ind w:firstLine="993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с. Миллерово, улица </w:t>
      </w:r>
      <w:r>
        <w:rPr>
          <w:rFonts w:ascii="Times New Roman" w:hAnsi="Times New Roman"/>
        </w:rPr>
        <w:t>Ярового</w:t>
      </w:r>
      <w:r>
        <w:rPr>
          <w:rFonts w:ascii="Times New Roman" w:hAnsi="Times New Roman"/>
        </w:rPr>
        <w:t>, 36, Телефон (86348)33-1-02. </w:t>
      </w:r>
    </w:p>
    <w:p w14:paraId="BD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14:paraId="BE000000">
      <w:pPr>
        <w:ind w:firstLine="72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u w:color="000000" w:val="single"/>
        </w:rPr>
        <w:t>Планируемые мероприятия на 2024 год.</w:t>
      </w:r>
    </w:p>
    <w:p w14:paraId="B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C0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1.         Направить бюджетную политику Кринично-Лугского сельского поселения на обеспечение первоочередных задач социально-экономического развития поселения при одновременном обеспечении устойчивости и сбалансированности бюджетной системы.</w:t>
      </w:r>
    </w:p>
    <w:p w14:paraId="C1000000">
      <w:pPr>
        <w:numPr>
          <w:ilvl w:val="0"/>
          <w:numId w:val="2"/>
        </w:numPr>
        <w:ind w:firstLine="850" w:left="0"/>
        <w:rPr>
          <w:rFonts w:ascii="Times New Roman" w:hAnsi="Times New Roman"/>
        </w:rPr>
      </w:pPr>
      <w:r>
        <w:rPr>
          <w:rFonts w:ascii="Times New Roman" w:hAnsi="Times New Roman"/>
        </w:rPr>
        <w:t>Продолжать работы по благоустройству территории и наведению порядка на кладбищах, в общественных местах.</w:t>
      </w:r>
    </w:p>
    <w:p w14:paraId="C2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14"/>
        </w:rPr>
        <w:t>          </w:t>
      </w:r>
      <w:r>
        <w:rPr>
          <w:rFonts w:ascii="Times New Roman" w:hAnsi="Times New Roman"/>
        </w:rPr>
        <w:t xml:space="preserve"> Реализовать инициативный проект по объекту: "Благоустройство территории кладбища Кринично-Лугского сельского поселени</w:t>
      </w:r>
      <w:r>
        <w:rPr>
          <w:rFonts w:ascii="Times New Roman" w:hAnsi="Times New Roman"/>
        </w:rPr>
        <w:t>я(</w:t>
      </w:r>
      <w:r>
        <w:rPr>
          <w:rFonts w:ascii="Times New Roman" w:hAnsi="Times New Roman"/>
        </w:rPr>
        <w:t>устройство ограждения), расположенного по адресу: Ростовская область, Куйбышевский район, 1,0 км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запад от с. Миллерово".</w:t>
      </w:r>
    </w:p>
    <w:p w14:paraId="C3000000">
      <w:pPr>
        <w:ind w:firstLine="851" w:left="0"/>
        <w:rPr>
          <w:rFonts w:ascii="Times New Roman" w:hAnsi="Times New Roman"/>
        </w:rPr>
      </w:pPr>
      <w:r>
        <w:rPr>
          <w:rFonts w:ascii="Times New Roman" w:hAnsi="Times New Roman"/>
        </w:rPr>
        <w:t>4.Подать документы для участия в федеральной целевой  программе для проведения капитального ремонта памятников воинских захоронений. Имеется 9 положительных заключений государственной экспертизы на проведение капитального ремонта воинских захоронений.</w:t>
      </w:r>
    </w:p>
    <w:p w14:paraId="C4000000">
      <w:pPr>
        <w:ind w:firstLine="0" w:left="14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C5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Глава Администрации</w:t>
      </w:r>
    </w:p>
    <w:p w14:paraId="C600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Кринично-Лугского сельского поселения                                 Р.А. </w:t>
      </w:r>
      <w:r>
        <w:rPr>
          <w:rFonts w:ascii="Times New Roman" w:hAnsi="Times New Roman"/>
        </w:rPr>
        <w:t>Юнда</w:t>
      </w:r>
    </w:p>
    <w:sectPr>
      <w:pgSz w:h="16848" w:orient="portrait" w:w="11908"/>
      <w:pgMar w:bottom="850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o"/>
      <w:lvlJc w:val="left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lvlJc w:val="left"/>
      <w:pPr>
        <w:ind w:hanging="360" w:left="1440"/>
      </w:pPr>
      <w:rPr>
        <w:rFonts w:ascii="Wingdings" w:hAnsi="Wingdings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o"/>
      <w:lvlJc w:val="left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lvlJc w:val="left"/>
      <w:pPr>
        <w:ind w:hanging="360" w:left="3600"/>
      </w:pPr>
      <w:rPr>
        <w:rFonts w:ascii="Wingdings" w:hAnsi="Wingdings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o"/>
      <w:lvlJc w:val="left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lvlJc w:val="left"/>
      <w:pPr>
        <w:ind w:hanging="360" w:left="5760"/>
      </w:pPr>
      <w:rPr>
        <w:rFonts w:ascii="Wingdings" w:hAnsi="Wingdings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1305" w:left="2156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  <w:jc w:val="left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  <w:jc w:val="left"/>
    </w:pPr>
  </w:style>
  <w:style w:styleId="Style_4_ch" w:type="character">
    <w:name w:val="toc 4"/>
    <w:basedOn w:val="Style_2_ch"/>
    <w:link w:val="Style_4"/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  <w:jc w:val="left"/>
    </w:pPr>
  </w:style>
  <w:style w:styleId="Style_5_ch" w:type="character">
    <w:name w:val="toc 6"/>
    <w:basedOn w:val="Style_2_ch"/>
    <w:link w:val="Style_5"/>
  </w:style>
  <w:style w:styleId="Style_6" w:type="paragraph">
    <w:name w:val="Обычный1"/>
    <w:link w:val="Style_6_ch"/>
    <w:rPr>
      <w:sz w:val="28"/>
    </w:rPr>
  </w:style>
  <w:style w:styleId="Style_6_ch" w:type="character">
    <w:name w:val="Обычный1"/>
    <w:link w:val="Style_6"/>
    <w:rPr>
      <w:sz w:val="28"/>
    </w:rPr>
  </w:style>
  <w:style w:styleId="Style_7" w:type="paragraph">
    <w:name w:val="toc 7"/>
    <w:basedOn w:val="Style_2"/>
    <w:next w:val="Style_2"/>
    <w:link w:val="Style_7_ch"/>
    <w:uiPriority w:val="39"/>
    <w:pPr>
      <w:ind w:firstLine="0" w:left="1200"/>
      <w:jc w:val="left"/>
    </w:pPr>
  </w:style>
  <w:style w:styleId="Style_7_ch" w:type="character">
    <w:name w:val="toc 7"/>
    <w:basedOn w:val="Style_2_ch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Normal1"/>
    <w:link w:val="Style_9_ch"/>
    <w:rPr>
      <w:sz w:val="28"/>
    </w:rPr>
  </w:style>
  <w:style w:styleId="Style_9_ch" w:type="character">
    <w:name w:val="Normal1"/>
    <w:link w:val="Style_9"/>
    <w:rPr>
      <w:sz w:val="28"/>
    </w:rPr>
  </w:style>
  <w:style w:styleId="Style_10" w:type="paragraph">
    <w:name w:val="Default Paragraph Font1"/>
    <w:link w:val="Style_10_ch"/>
    <w:rPr>
      <w:sz w:val="24"/>
    </w:rPr>
  </w:style>
  <w:style w:styleId="Style_10_ch" w:type="character">
    <w:name w:val="Default Paragraph Font1"/>
    <w:link w:val="Style_10"/>
    <w:rPr>
      <w:sz w:val="24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120" w:before="120"/>
      <w:ind/>
      <w:outlineLvl w:val="2"/>
    </w:pPr>
    <w:rPr>
      <w:b w:val="1"/>
      <w:sz w:val="26"/>
    </w:rPr>
  </w:style>
  <w:style w:styleId="Style_11_ch" w:type="character">
    <w:name w:val="heading 3"/>
    <w:basedOn w:val="Style_2_ch"/>
    <w:link w:val="Style_11"/>
    <w:rPr>
      <w:b w:val="1"/>
      <w:sz w:val="26"/>
    </w:rPr>
  </w:style>
  <w:style w:styleId="Style_12" w:type="paragraph">
    <w:name w:val="Обычный1"/>
    <w:link w:val="Style_12_ch"/>
    <w:rPr>
      <w:color w:val="000000"/>
      <w:sz w:val="28"/>
    </w:rPr>
  </w:style>
  <w:style w:styleId="Style_12_ch" w:type="character">
    <w:name w:val="Обычный1"/>
    <w:link w:val="Style_12"/>
    <w:rPr>
      <w:color w:val="000000"/>
      <w:sz w:val="28"/>
    </w:rPr>
  </w:style>
  <w:style w:styleId="Style_13" w:type="paragraph">
    <w:name w:val="toc 3"/>
    <w:basedOn w:val="Style_2"/>
    <w:next w:val="Style_2"/>
    <w:link w:val="Style_13_ch"/>
    <w:uiPriority w:val="39"/>
    <w:pPr>
      <w:ind w:firstLine="0" w:left="400"/>
      <w:jc w:val="left"/>
    </w:pPr>
  </w:style>
  <w:style w:styleId="Style_13_ch" w:type="character">
    <w:name w:val="toc 3"/>
    <w:basedOn w:val="Style_2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basedOn w:val="Style_2"/>
    <w:next w:val="Style_2"/>
    <w:link w:val="Style_15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5_ch" w:type="character">
    <w:name w:val="heading 5"/>
    <w:basedOn w:val="Style_2_ch"/>
    <w:link w:val="Style_15"/>
    <w:rPr>
      <w:b w:val="1"/>
      <w:sz w:val="22"/>
    </w:rPr>
  </w:style>
  <w:style w:styleId="Style_16" w:type="paragraph">
    <w:name w:val="heading 1"/>
    <w:basedOn w:val="Style_2"/>
    <w:next w:val="Style_2"/>
    <w:link w:val="Style_16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6_ch" w:type="character">
    <w:name w:val="heading 1"/>
    <w:basedOn w:val="Style_2_ch"/>
    <w:link w:val="Style_16"/>
    <w:rPr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</w:style>
  <w:style w:styleId="Style_18_ch" w:type="character">
    <w:name w:val="Footnote"/>
    <w:link w:val="Style_18"/>
  </w:style>
  <w:style w:styleId="Style_19" w:type="paragraph">
    <w:name w:val="toc 1"/>
    <w:basedOn w:val="Style_2"/>
    <w:next w:val="Style_2"/>
    <w:link w:val="Style_19_ch"/>
    <w:uiPriority w:val="39"/>
    <w:pPr>
      <w:ind/>
      <w:jc w:val="left"/>
    </w:pPr>
    <w:rPr>
      <w:b w:val="1"/>
    </w:rPr>
  </w:style>
  <w:style w:styleId="Style_19_ch" w:type="character">
    <w:name w:val="toc 1"/>
    <w:basedOn w:val="Style_2_ch"/>
    <w:link w:val="Style_19"/>
    <w:rPr>
      <w:b w:val="1"/>
    </w:rPr>
  </w:style>
  <w:style w:styleId="Style_20" w:type="paragraph">
    <w:name w:val="Header and Footer"/>
    <w:link w:val="Style_20_ch"/>
    <w:pPr>
      <w:ind/>
      <w:jc w:val="both"/>
    </w:pPr>
    <w:rPr>
      <w:sz w:val="24"/>
    </w:rPr>
  </w:style>
  <w:style w:styleId="Style_20_ch" w:type="character">
    <w:name w:val="Header and Footer"/>
    <w:link w:val="Style_20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Гиперссылка1"/>
    <w:link w:val="Style_22_ch"/>
    <w:rPr>
      <w:color w:val="0000FF"/>
      <w:sz w:val="24"/>
      <w:u w:val="single"/>
    </w:rPr>
  </w:style>
  <w:style w:styleId="Style_22_ch" w:type="character">
    <w:name w:val="Гиперссылка1"/>
    <w:link w:val="Style_22"/>
    <w:rPr>
      <w:color w:val="0000FF"/>
      <w:sz w:val="24"/>
      <w:u w:val="single"/>
    </w:rPr>
  </w:style>
  <w:style w:styleId="Style_23" w:type="paragraph">
    <w:name w:val="toc 9"/>
    <w:basedOn w:val="Style_2"/>
    <w:next w:val="Style_2"/>
    <w:link w:val="Style_23_ch"/>
    <w:uiPriority w:val="39"/>
    <w:pPr>
      <w:ind w:firstLine="0" w:left="1600"/>
      <w:jc w:val="left"/>
    </w:pPr>
  </w:style>
  <w:style w:styleId="Style_23_ch" w:type="character">
    <w:name w:val="toc 9"/>
    <w:basedOn w:val="Style_2_ch"/>
    <w:link w:val="Style_23"/>
  </w:style>
  <w:style w:styleId="Style_24" w:type="paragraph">
    <w:name w:val="toc 8"/>
    <w:basedOn w:val="Style_2"/>
    <w:next w:val="Style_2"/>
    <w:link w:val="Style_24_ch"/>
    <w:uiPriority w:val="39"/>
    <w:pPr>
      <w:ind w:firstLine="0" w:left="1400"/>
      <w:jc w:val="left"/>
    </w:pPr>
  </w:style>
  <w:style w:styleId="Style_24_ch" w:type="character">
    <w:name w:val="toc 8"/>
    <w:basedOn w:val="Style_2_ch"/>
    <w:link w:val="Style_24"/>
  </w:style>
  <w:style w:styleId="Style_25" w:type="paragraph">
    <w:name w:val="Hyperlink1"/>
    <w:link w:val="Style_25_ch"/>
    <w:rPr>
      <w:color w:val="0000FF"/>
      <w:sz w:val="24"/>
      <w:u w:val="single"/>
    </w:rPr>
  </w:style>
  <w:style w:styleId="Style_25_ch" w:type="character">
    <w:name w:val="Hyperlink1"/>
    <w:link w:val="Style_25"/>
    <w:rPr>
      <w:color w:val="0000FF"/>
      <w:sz w:val="24"/>
      <w:u w:val="single"/>
    </w:rPr>
  </w:style>
  <w:style w:styleId="Style_26" w:type="paragraph">
    <w:name w:val="toc 5"/>
    <w:basedOn w:val="Style_2"/>
    <w:next w:val="Style_2"/>
    <w:link w:val="Style_26_ch"/>
    <w:uiPriority w:val="39"/>
    <w:pPr>
      <w:ind w:firstLine="0" w:left="800"/>
      <w:jc w:val="left"/>
    </w:pPr>
  </w:style>
  <w:style w:styleId="Style_26_ch" w:type="character">
    <w:name w:val="toc 5"/>
    <w:basedOn w:val="Style_2_ch"/>
    <w:link w:val="Style_26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7" w:type="paragraph">
    <w:name w:val="Subtitle"/>
    <w:basedOn w:val="Style_2"/>
    <w:next w:val="Style_2"/>
    <w:link w:val="Style_27_ch"/>
    <w:uiPriority w:val="11"/>
    <w:qFormat/>
    <w:rPr>
      <w:i w:val="1"/>
      <w:sz w:val="24"/>
    </w:rPr>
  </w:style>
  <w:style w:styleId="Style_27_ch" w:type="character">
    <w:name w:val="Subtitle"/>
    <w:basedOn w:val="Style_2_ch"/>
    <w:link w:val="Style_27"/>
    <w:rPr>
      <w:i w:val="1"/>
      <w:sz w:val="24"/>
    </w:rPr>
  </w:style>
  <w:style w:styleId="Style_28" w:type="paragraph">
    <w:name w:val="Title"/>
    <w:basedOn w:val="Style_2"/>
    <w:next w:val="Style_2"/>
    <w:link w:val="Style_28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8_ch" w:type="character">
    <w:name w:val="Title"/>
    <w:basedOn w:val="Style_2_ch"/>
    <w:link w:val="Style_28"/>
    <w:rPr>
      <w:b w:val="1"/>
      <w:caps w:val="1"/>
      <w:sz w:val="40"/>
    </w:rPr>
  </w:style>
  <w:style w:styleId="Style_29" w:type="paragraph">
    <w:name w:val="heading 4"/>
    <w:basedOn w:val="Style_2"/>
    <w:next w:val="Style_2"/>
    <w:link w:val="Style_29_ch"/>
    <w:uiPriority w:val="9"/>
    <w:qFormat/>
    <w:pPr>
      <w:spacing w:after="120" w:before="120"/>
      <w:ind/>
      <w:outlineLvl w:val="3"/>
    </w:pPr>
    <w:rPr>
      <w:b w:val="1"/>
      <w:sz w:val="24"/>
    </w:rPr>
  </w:style>
  <w:style w:styleId="Style_29_ch" w:type="character">
    <w:name w:val="heading 4"/>
    <w:basedOn w:val="Style_2_ch"/>
    <w:link w:val="Style_29"/>
    <w:rPr>
      <w:b w:val="1"/>
      <w:sz w:val="24"/>
    </w:rPr>
  </w:style>
  <w:style w:styleId="Style_30" w:type="paragraph">
    <w:name w:val="heading 2"/>
    <w:basedOn w:val="Style_2"/>
    <w:next w:val="Style_2"/>
    <w:link w:val="Style_30_ch"/>
    <w:uiPriority w:val="9"/>
    <w:qFormat/>
    <w:pPr>
      <w:spacing w:after="120" w:before="120"/>
      <w:ind/>
      <w:outlineLvl w:val="1"/>
    </w:pPr>
    <w:rPr>
      <w:b w:val="1"/>
    </w:rPr>
  </w:style>
  <w:style w:styleId="Style_30_ch" w:type="character">
    <w:name w:val="heading 2"/>
    <w:basedOn w:val="Style_2_ch"/>
    <w:link w:val="Style_30"/>
    <w:rPr>
      <w:b w:val="1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2024-06-21T06:55:00Z</dcterms:modified>
</cp:coreProperties>
</file>